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7286" w:rsidRDefault="00A613F0" w:rsidP="00410808">
      <w:pPr>
        <w:ind w:left="1" w:hanging="3"/>
        <w:jc w:val="both"/>
        <w:rPr>
          <w:rFonts w:eastAsia="Tahoma"/>
          <w:b/>
          <w:bCs/>
          <w:sz w:val="32"/>
          <w:szCs w:val="32"/>
        </w:rPr>
      </w:pPr>
      <w:r w:rsidRPr="00A613F0">
        <w:rPr>
          <w:rFonts w:eastAsia="Tahoma"/>
          <w:b/>
          <w:bCs/>
          <w:sz w:val="32"/>
          <w:szCs w:val="32"/>
        </w:rPr>
        <w:t>FUNCTIONAL OUTCOME IN C2/C3 FRACTURE DISLOCATION MANAGED WITH COMBINED SURGICAL DECOMPRESSION AND POSTERIOR STABILIZATION</w:t>
      </w:r>
    </w:p>
    <w:p w:rsidR="00A613F0" w:rsidRPr="00287628" w:rsidRDefault="00A613F0" w:rsidP="00410808">
      <w:pPr>
        <w:ind w:left="1" w:hanging="3"/>
        <w:jc w:val="both"/>
        <w:rPr>
          <w:rFonts w:eastAsia="Tahoma"/>
          <w:b/>
          <w:bCs/>
          <w:color w:val="000000" w:themeColor="text1"/>
          <w:sz w:val="32"/>
          <w:szCs w:val="32"/>
        </w:rPr>
      </w:pPr>
    </w:p>
    <w:p w:rsidR="005A7286" w:rsidRPr="00287628" w:rsidRDefault="00287628" w:rsidP="00224F0C">
      <w:pPr>
        <w:ind w:left="-2" w:firstLineChars="0" w:firstLine="2"/>
        <w:rPr>
          <w:rFonts w:eastAsia="Tahoma"/>
          <w:b/>
          <w:bCs/>
          <w:color w:val="000000" w:themeColor="text1"/>
        </w:rPr>
      </w:pPr>
      <w:proofErr w:type="spellStart"/>
      <w:r w:rsidRPr="00287628">
        <w:rPr>
          <w:rFonts w:eastAsia="Tahoma"/>
          <w:b/>
          <w:bCs/>
          <w:color w:val="000000" w:themeColor="text1"/>
        </w:rPr>
        <w:t>Teuku</w:t>
      </w:r>
      <w:proofErr w:type="spellEnd"/>
      <w:r w:rsidRPr="00287628">
        <w:rPr>
          <w:rFonts w:eastAsia="Tahoma"/>
          <w:b/>
          <w:bCs/>
          <w:color w:val="000000" w:themeColor="text1"/>
        </w:rPr>
        <w:t xml:space="preserve"> </w:t>
      </w:r>
      <w:proofErr w:type="spellStart"/>
      <w:r w:rsidRPr="00287628">
        <w:rPr>
          <w:rFonts w:eastAsia="Tahoma"/>
          <w:b/>
          <w:bCs/>
          <w:color w:val="000000" w:themeColor="text1"/>
        </w:rPr>
        <w:t>Nanta</w:t>
      </w:r>
      <w:proofErr w:type="spellEnd"/>
      <w:r w:rsidRPr="00287628">
        <w:rPr>
          <w:rFonts w:eastAsia="Tahoma"/>
          <w:b/>
          <w:bCs/>
          <w:color w:val="000000" w:themeColor="text1"/>
        </w:rPr>
        <w:t xml:space="preserve"> </w:t>
      </w:r>
      <w:proofErr w:type="spellStart"/>
      <w:r w:rsidRPr="00287628">
        <w:rPr>
          <w:rFonts w:eastAsia="Tahoma"/>
          <w:b/>
          <w:bCs/>
          <w:color w:val="000000" w:themeColor="text1"/>
        </w:rPr>
        <w:t>Aulia</w:t>
      </w:r>
      <w:proofErr w:type="spellEnd"/>
      <w:r w:rsidRPr="00287628">
        <w:rPr>
          <w:rFonts w:eastAsia="Tahoma"/>
          <w:b/>
          <w:bCs/>
          <w:color w:val="000000" w:themeColor="text1"/>
        </w:rPr>
        <w:t>, Muhammad Iqbal, M</w:t>
      </w:r>
      <w:r w:rsidR="0080372A">
        <w:rPr>
          <w:rFonts w:eastAsia="Tahoma"/>
          <w:b/>
          <w:bCs/>
          <w:color w:val="000000" w:themeColor="text1"/>
        </w:rPr>
        <w:t xml:space="preserve"> I</w:t>
      </w:r>
      <w:r w:rsidRPr="00287628">
        <w:rPr>
          <w:rFonts w:eastAsia="Tahoma"/>
          <w:b/>
          <w:bCs/>
          <w:color w:val="000000" w:themeColor="text1"/>
        </w:rPr>
        <w:t xml:space="preserve">rfan </w:t>
      </w:r>
      <w:proofErr w:type="spellStart"/>
      <w:r w:rsidRPr="00287628">
        <w:rPr>
          <w:rFonts w:eastAsia="Tahoma"/>
          <w:b/>
          <w:bCs/>
          <w:color w:val="000000" w:themeColor="text1"/>
        </w:rPr>
        <w:t>Guranda</w:t>
      </w:r>
      <w:proofErr w:type="spellEnd"/>
      <w:r w:rsidR="00F22B37" w:rsidRPr="00287628">
        <w:rPr>
          <w:rFonts w:eastAsia="Tahoma"/>
          <w:b/>
          <w:bCs/>
          <w:color w:val="000000" w:themeColor="text1"/>
        </w:rPr>
        <w:t xml:space="preserve"> </w:t>
      </w:r>
    </w:p>
    <w:p w:rsidR="00A613F0" w:rsidRDefault="00A613F0" w:rsidP="00287628">
      <w:pPr>
        <w:ind w:left="-2" w:firstLineChars="0" w:firstLine="0"/>
        <w:rPr>
          <w:rFonts w:eastAsia="Tahoma"/>
          <w:bCs/>
          <w:color w:val="000000" w:themeColor="text1"/>
        </w:rPr>
      </w:pPr>
      <w:r w:rsidRPr="00A613F0">
        <w:rPr>
          <w:rFonts w:eastAsia="Tahoma"/>
          <w:bCs/>
          <w:color w:val="000000" w:themeColor="text1"/>
        </w:rPr>
        <w:t>Faculty of Me</w:t>
      </w:r>
      <w:r>
        <w:rPr>
          <w:rFonts w:eastAsia="Tahoma"/>
          <w:bCs/>
          <w:color w:val="000000" w:themeColor="text1"/>
        </w:rPr>
        <w:t xml:space="preserve">dicine, </w:t>
      </w:r>
      <w:proofErr w:type="spellStart"/>
      <w:r>
        <w:rPr>
          <w:rFonts w:eastAsia="Tahoma"/>
          <w:bCs/>
          <w:color w:val="000000" w:themeColor="text1"/>
        </w:rPr>
        <w:t>Syiah</w:t>
      </w:r>
      <w:proofErr w:type="spellEnd"/>
      <w:r>
        <w:rPr>
          <w:rFonts w:eastAsia="Tahoma"/>
          <w:bCs/>
          <w:color w:val="000000" w:themeColor="text1"/>
        </w:rPr>
        <w:t xml:space="preserve"> Kuala University/</w:t>
      </w:r>
      <w:r w:rsidRPr="00A613F0">
        <w:rPr>
          <w:rFonts w:eastAsia="Tahoma"/>
          <w:bCs/>
          <w:color w:val="000000" w:themeColor="text1"/>
        </w:rPr>
        <w:t xml:space="preserve">Dr. </w:t>
      </w:r>
      <w:proofErr w:type="spellStart"/>
      <w:r w:rsidRPr="00A613F0">
        <w:rPr>
          <w:rFonts w:eastAsia="Tahoma"/>
          <w:bCs/>
          <w:color w:val="000000" w:themeColor="text1"/>
        </w:rPr>
        <w:t>Zainoel</w:t>
      </w:r>
      <w:proofErr w:type="spellEnd"/>
      <w:r w:rsidRPr="00A613F0">
        <w:rPr>
          <w:rFonts w:eastAsia="Tahoma"/>
          <w:bCs/>
          <w:color w:val="000000" w:themeColor="text1"/>
        </w:rPr>
        <w:t xml:space="preserve"> Abidin Hospital, Banda Aceh, Indonesia </w:t>
      </w:r>
    </w:p>
    <w:p w:rsidR="00287628" w:rsidRDefault="00F22B37" w:rsidP="00287628">
      <w:pPr>
        <w:ind w:left="-2" w:firstLineChars="0" w:firstLine="0"/>
        <w:rPr>
          <w:rFonts w:eastAsia="Tahoma"/>
          <w:bCs/>
          <w:color w:val="000000" w:themeColor="text1"/>
        </w:rPr>
      </w:pPr>
      <w:r w:rsidRPr="00287628">
        <w:rPr>
          <w:rFonts w:eastAsia="Tahoma"/>
          <w:bCs/>
          <w:color w:val="000000" w:themeColor="text1"/>
        </w:rPr>
        <w:t xml:space="preserve">Email: </w:t>
      </w:r>
      <w:r w:rsidR="00287628" w:rsidRPr="00287628">
        <w:rPr>
          <w:rFonts w:eastAsia="Tahoma"/>
          <w:bCs/>
          <w:color w:val="000000" w:themeColor="text1"/>
        </w:rPr>
        <w:t>teukunantaauli</w:t>
      </w:r>
      <w:r w:rsidR="00287628">
        <w:rPr>
          <w:rFonts w:eastAsia="Tahoma"/>
          <w:bCs/>
          <w:color w:val="000000" w:themeColor="text1"/>
        </w:rPr>
        <w:t xml:space="preserve">a@yahoo.co, </w:t>
      </w:r>
      <w:hyperlink r:id="rId9" w:history="1">
        <w:r w:rsidR="00287628" w:rsidRPr="00287628">
          <w:rPr>
            <w:rStyle w:val="Hyperlink"/>
            <w:rFonts w:eastAsia="Tahoma"/>
            <w:bCs/>
            <w:color w:val="000000" w:themeColor="text1"/>
            <w:u w:val="none"/>
          </w:rPr>
          <w:t>iiqbalmd@gmail.com</w:t>
        </w:r>
      </w:hyperlink>
      <w:r w:rsidR="00287628" w:rsidRPr="00287628">
        <w:rPr>
          <w:rFonts w:eastAsia="Tahoma"/>
          <w:bCs/>
          <w:color w:val="000000" w:themeColor="text1"/>
        </w:rPr>
        <w:t xml:space="preserve">, </w:t>
      </w:r>
    </w:p>
    <w:p w:rsidR="00224F0C" w:rsidRPr="00287628" w:rsidRDefault="00287628" w:rsidP="00287628">
      <w:pPr>
        <w:ind w:leftChars="354" w:left="1703" w:firstLineChars="0" w:hanging="853"/>
        <w:rPr>
          <w:rFonts w:eastAsia="Tahoma"/>
          <w:bCs/>
          <w:color w:val="000000" w:themeColor="text1"/>
        </w:rPr>
      </w:pPr>
      <w:r w:rsidRPr="00287628">
        <w:rPr>
          <w:rFonts w:eastAsia="Tahoma"/>
          <w:bCs/>
          <w:color w:val="000000" w:themeColor="text1"/>
        </w:rPr>
        <w:t>m.irfanguranda95@gmail.com</w:t>
      </w:r>
    </w:p>
    <w:tbl>
      <w:tblPr>
        <w:tblStyle w:val="a"/>
        <w:tblpPr w:leftFromText="180" w:rightFromText="180" w:vertAnchor="text" w:horzAnchor="margin" w:tblpY="239"/>
        <w:tblW w:w="8721"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268"/>
        <w:gridCol w:w="6453"/>
      </w:tblGrid>
      <w:tr w:rsidR="00290BB3" w:rsidTr="00224F0C">
        <w:trPr>
          <w:cantSplit/>
          <w:trHeight w:val="983"/>
        </w:trPr>
        <w:tc>
          <w:tcPr>
            <w:tcW w:w="2268" w:type="dxa"/>
            <w:tcBorders>
              <w:top w:val="single" w:sz="4" w:space="0" w:color="auto"/>
              <w:bottom w:val="single" w:sz="4" w:space="0" w:color="auto"/>
            </w:tcBorders>
          </w:tcPr>
          <w:p w:rsidR="003C575E" w:rsidRPr="008607E4" w:rsidRDefault="00F22B37" w:rsidP="00425A72">
            <w:pPr>
              <w:pStyle w:val="NormalWeb"/>
              <w:spacing w:before="0" w:beforeAutospacing="0" w:after="0" w:afterAutospacing="0"/>
              <w:rPr>
                <w:b/>
                <w:bCs/>
                <w:i/>
              </w:rPr>
            </w:pPr>
            <w:r w:rsidRPr="008607E4">
              <w:rPr>
                <w:b/>
                <w:bCs/>
                <w:i/>
                <w:iCs/>
                <w:color w:val="000000"/>
              </w:rPr>
              <w:t>Keywords:</w:t>
            </w:r>
          </w:p>
          <w:p w:rsidR="00B216F0" w:rsidRPr="001D7E51" w:rsidRDefault="00A613F0" w:rsidP="00425A72">
            <w:pPr>
              <w:pStyle w:val="NormalWeb"/>
              <w:spacing w:before="0" w:beforeAutospacing="0" w:after="0" w:afterAutospacing="0"/>
              <w:ind w:hanging="2"/>
              <w:rPr>
                <w:bCs/>
                <w:i/>
                <w:iCs/>
                <w:color w:val="000000"/>
              </w:rPr>
            </w:pPr>
            <w:r w:rsidRPr="00A613F0">
              <w:rPr>
                <w:bCs/>
                <w:i/>
                <w:iCs/>
                <w:color w:val="000000"/>
              </w:rPr>
              <w:t>Dislocati</w:t>
            </w:r>
            <w:r>
              <w:rPr>
                <w:bCs/>
                <w:i/>
                <w:iCs/>
                <w:color w:val="000000"/>
              </w:rPr>
              <w:t>on Fracture; Spinal Cord Injury;</w:t>
            </w:r>
            <w:r w:rsidRPr="00A613F0">
              <w:rPr>
                <w:bCs/>
                <w:i/>
                <w:iCs/>
                <w:color w:val="000000"/>
              </w:rPr>
              <w:t xml:space="preserve"> Functional Outcome</w:t>
            </w:r>
            <w:r w:rsidR="00CB0252">
              <w:rPr>
                <w:bCs/>
                <w:i/>
                <w:iCs/>
                <w:color w:val="000000"/>
              </w:rPr>
              <w:t>.</w:t>
            </w:r>
          </w:p>
          <w:p w:rsidR="00B216F0" w:rsidRDefault="00B216F0" w:rsidP="00425A72">
            <w:pPr>
              <w:pStyle w:val="NormalWeb"/>
              <w:spacing w:before="0" w:beforeAutospacing="0" w:after="0" w:afterAutospacing="0"/>
              <w:ind w:hanging="2"/>
              <w:rPr>
                <w:b/>
                <w:bCs/>
                <w:iCs/>
                <w:color w:val="000000"/>
              </w:rPr>
            </w:pPr>
          </w:p>
          <w:p w:rsidR="00224F0C" w:rsidRDefault="00224F0C" w:rsidP="00425A72">
            <w:pPr>
              <w:pStyle w:val="NormalWeb"/>
              <w:spacing w:before="0" w:beforeAutospacing="0" w:after="0" w:afterAutospacing="0"/>
              <w:ind w:hanging="2"/>
              <w:rPr>
                <w:b/>
                <w:bCs/>
                <w:iCs/>
                <w:color w:val="000000"/>
              </w:rPr>
            </w:pPr>
          </w:p>
          <w:p w:rsidR="003C575E" w:rsidRDefault="003C575E" w:rsidP="00425A72">
            <w:pPr>
              <w:pStyle w:val="NormalWeb"/>
              <w:spacing w:before="0" w:beforeAutospacing="0" w:after="0" w:afterAutospacing="0"/>
              <w:ind w:hanging="2"/>
              <w:rPr>
                <w:b/>
                <w:bCs/>
                <w:iCs/>
                <w:color w:val="000000"/>
              </w:rPr>
            </w:pPr>
          </w:p>
          <w:p w:rsidR="003C575E" w:rsidRPr="00E40525" w:rsidRDefault="003C575E" w:rsidP="00425A72">
            <w:pPr>
              <w:pStyle w:val="NormalWeb"/>
              <w:spacing w:before="0" w:beforeAutospacing="0" w:after="0" w:afterAutospacing="0"/>
              <w:ind w:hanging="2"/>
              <w:rPr>
                <w:b/>
                <w:bCs/>
                <w:iCs/>
                <w:color w:val="000000"/>
              </w:rPr>
            </w:pPr>
          </w:p>
          <w:p w:rsidR="00B24853" w:rsidRPr="00E40525" w:rsidRDefault="00B24853" w:rsidP="00CB0252">
            <w:pPr>
              <w:spacing w:line="240" w:lineRule="auto"/>
              <w:ind w:left="0" w:hanging="2"/>
              <w:textDirection w:val="lrTb"/>
              <w:rPr>
                <w:rFonts w:eastAsia="Tahoma"/>
              </w:rPr>
            </w:pPr>
          </w:p>
        </w:tc>
        <w:tc>
          <w:tcPr>
            <w:tcW w:w="6453" w:type="dxa"/>
            <w:tcBorders>
              <w:top w:val="single" w:sz="4" w:space="0" w:color="auto"/>
              <w:bottom w:val="single" w:sz="4" w:space="0" w:color="auto"/>
            </w:tcBorders>
          </w:tcPr>
          <w:p w:rsidR="001D7E51" w:rsidRPr="005D3200" w:rsidRDefault="00F22B37" w:rsidP="00AE7FBE">
            <w:pPr>
              <w:spacing w:line="240" w:lineRule="auto"/>
              <w:ind w:left="0" w:hanging="2"/>
              <w:contextualSpacing/>
              <w:jc w:val="both"/>
              <w:textDirection w:val="lrTb"/>
              <w:rPr>
                <w:rFonts w:eastAsia="Tahoma"/>
                <w:b/>
                <w:i/>
              </w:rPr>
            </w:pPr>
            <w:r w:rsidRPr="005D3200">
              <w:rPr>
                <w:rFonts w:eastAsia="Tahoma"/>
                <w:b/>
                <w:i/>
              </w:rPr>
              <w:t>ABSTRACT</w:t>
            </w:r>
          </w:p>
          <w:p w:rsidR="00B216F0" w:rsidRPr="006C7B64" w:rsidRDefault="00A613F0" w:rsidP="006C7B64">
            <w:pPr>
              <w:spacing w:line="240" w:lineRule="auto"/>
              <w:ind w:leftChars="0" w:firstLineChars="0" w:firstLine="0"/>
              <w:contextualSpacing/>
              <w:jc w:val="both"/>
              <w:textDirection w:val="lrTb"/>
              <w:rPr>
                <w:i/>
              </w:rPr>
            </w:pPr>
            <w:r w:rsidRPr="00A613F0">
              <w:rPr>
                <w:i/>
              </w:rPr>
              <w:t xml:space="preserve">Spinal cord injury is one of the main reasons for permanent paralysis and immobility till now. Spine injury is usually fatal because it involves more than one component, such as </w:t>
            </w:r>
            <w:proofErr w:type="spellStart"/>
            <w:r w:rsidRPr="00A613F0">
              <w:rPr>
                <w:i/>
              </w:rPr>
              <w:t>discoligamentous</w:t>
            </w:r>
            <w:proofErr w:type="spellEnd"/>
            <w:r w:rsidRPr="00A613F0">
              <w:rPr>
                <w:i/>
              </w:rPr>
              <w:t xml:space="preserve"> misconfiguration, vascular and spinal cord damage. Spine dislocation fracture at the level of C2-3 is rare and usually affects one or two vertebras. Good functional outcome in spine injury is uncommon in which death almost always happens suddenly or is caused by secondary trauma. Emergency room with a cervical spine injury. The patient was pushed by his friends from the side during playtime, causing the neck to hit the corner of a table. The dislocation fracture at the level of C2-3 and spinal cord compression directly caused tetraplegia. The condition was handled with a decompression procedure, spine fusion at the level of C1-4, and posterior stabilization with pedicle screws. A day after the operation, minimal movements were seen in both arms and legs, with motoric strength of 2/2/2/2. The score improved to 4/4/4/4 after two weeks of meds and physiotherapy. The patient started to write again in week 3. The dislocation fracture in this patient caused spinal cord compression. A retropulsion fracture fragment can be displaced to the spinal canal and potentially cause further spinal cord damage. Displacement towards the anterior horn leads to motoric dysfunction. Dislocation fracture at the level of C2-3 hinders neurotransmitter impulse, causing total paralysis on all extremities with intact sensory function. The patient had temporary external stabilization around the neck area while waiting for the procedure. The management concept in cases like this includes affected spinal cord decompression and internal fixation using pedicle screws to ensure fracture stabilization.</w:t>
            </w:r>
          </w:p>
        </w:tc>
      </w:tr>
      <w:tr w:rsidR="00290BB3" w:rsidTr="00B24853">
        <w:trPr>
          <w:cantSplit/>
          <w:trHeight w:val="285"/>
        </w:trPr>
        <w:tc>
          <w:tcPr>
            <w:tcW w:w="2268" w:type="dxa"/>
            <w:tcBorders>
              <w:top w:val="single" w:sz="4" w:space="0" w:color="auto"/>
            </w:tcBorders>
          </w:tcPr>
          <w:p w:rsidR="00B24853" w:rsidRPr="00E40525" w:rsidRDefault="00F22B37" w:rsidP="00E40525">
            <w:pPr>
              <w:pStyle w:val="NormalWeb"/>
              <w:spacing w:before="0" w:beforeAutospacing="0" w:after="0" w:afterAutospacing="0" w:line="276" w:lineRule="auto"/>
              <w:ind w:hanging="2"/>
              <w:rPr>
                <w:iCs/>
                <w:color w:val="000000"/>
              </w:rPr>
            </w:pPr>
            <w:r w:rsidRPr="00E40525">
              <w:rPr>
                <w:iCs/>
                <w:color w:val="000000"/>
              </w:rPr>
              <w:t>Info Arti</w:t>
            </w:r>
            <w:r w:rsidR="0080372A">
              <w:rPr>
                <w:iCs/>
                <w:color w:val="000000"/>
              </w:rPr>
              <w:t>cle</w:t>
            </w:r>
          </w:p>
        </w:tc>
        <w:tc>
          <w:tcPr>
            <w:tcW w:w="6453" w:type="dxa"/>
            <w:tcBorders>
              <w:top w:val="single" w:sz="4" w:space="0" w:color="auto"/>
              <w:bottom w:val="single" w:sz="4" w:space="0" w:color="auto"/>
            </w:tcBorders>
          </w:tcPr>
          <w:p w:rsidR="00B24853" w:rsidRPr="00E40525" w:rsidRDefault="00F22B37" w:rsidP="00AE7FBE">
            <w:pPr>
              <w:spacing w:line="240" w:lineRule="auto"/>
              <w:ind w:left="0" w:hanging="2"/>
              <w:contextualSpacing/>
              <w:jc w:val="both"/>
              <w:textDirection w:val="lrTb"/>
              <w:rPr>
                <w:rFonts w:eastAsia="Tahoma"/>
                <w:b/>
                <w:i/>
              </w:rPr>
            </w:pPr>
            <w:r w:rsidRPr="00E40525">
              <w:rPr>
                <w:iCs/>
                <w:color w:val="000000"/>
              </w:rPr>
              <w:t xml:space="preserve"> </w:t>
            </w:r>
          </w:p>
        </w:tc>
      </w:tr>
    </w:tbl>
    <w:p w:rsidR="00D50257" w:rsidRPr="00E40525" w:rsidRDefault="00D50257" w:rsidP="00E40525">
      <w:pPr>
        <w:spacing w:line="276" w:lineRule="auto"/>
        <w:ind w:left="0" w:hanging="2"/>
        <w:rPr>
          <w:rFonts w:eastAsia="Tahoma"/>
        </w:rPr>
      </w:pPr>
    </w:p>
    <w:p w:rsidR="00B24853" w:rsidRDefault="00B24853" w:rsidP="00B24853">
      <w:pPr>
        <w:ind w:leftChars="0" w:left="0" w:firstLineChars="0" w:firstLine="0"/>
        <w:rPr>
          <w:rFonts w:eastAsia="Arial"/>
        </w:rPr>
      </w:pPr>
    </w:p>
    <w:p w:rsidR="0080372A" w:rsidRDefault="0080372A" w:rsidP="00B24853">
      <w:pPr>
        <w:ind w:leftChars="0" w:left="0" w:firstLineChars="0" w:firstLine="0"/>
        <w:rPr>
          <w:rFonts w:eastAsia="Arial"/>
        </w:rPr>
      </w:pPr>
    </w:p>
    <w:p w:rsidR="0080372A" w:rsidRPr="00E40525" w:rsidRDefault="0080372A" w:rsidP="00B24853">
      <w:pPr>
        <w:ind w:leftChars="0" w:left="0" w:firstLineChars="0" w:firstLine="0"/>
        <w:rPr>
          <w:rFonts w:eastAsia="Arial"/>
        </w:rPr>
        <w:sectPr w:rsidR="0080372A" w:rsidRPr="00E40525" w:rsidSect="00BC2795">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720" w:footer="680" w:gutter="0"/>
          <w:pgNumType w:start="85"/>
          <w:cols w:space="720"/>
          <w:titlePg/>
        </w:sectPr>
      </w:pPr>
    </w:p>
    <w:p w:rsidR="006C7B64" w:rsidRDefault="00F22B37" w:rsidP="006C7B64">
      <w:pPr>
        <w:spacing w:line="276" w:lineRule="auto"/>
        <w:ind w:left="-2" w:firstLineChars="0" w:firstLine="2"/>
        <w:contextualSpacing/>
        <w:jc w:val="both"/>
        <w:rPr>
          <w:rFonts w:eastAsia="Tahoma"/>
          <w:b/>
        </w:rPr>
      </w:pPr>
      <w:r w:rsidRPr="006C7B64">
        <w:rPr>
          <w:rFonts w:eastAsia="Tahoma"/>
          <w:b/>
        </w:rPr>
        <w:lastRenderedPageBreak/>
        <w:t>INTRODUCTION</w:t>
      </w:r>
    </w:p>
    <w:p w:rsidR="0080372A" w:rsidRDefault="00A124AF" w:rsidP="00A124AF">
      <w:pPr>
        <w:pStyle w:val="ListParagraph"/>
        <w:spacing w:line="276" w:lineRule="auto"/>
        <w:ind w:leftChars="0" w:left="0" w:firstLineChars="0" w:firstLine="709"/>
        <w:contextualSpacing/>
        <w:jc w:val="both"/>
        <w:textDirection w:val="lrTb"/>
        <w:textAlignment w:val="auto"/>
        <w:outlineLvl w:val="9"/>
        <w:rPr>
          <w:szCs w:val="28"/>
          <w:lang w:val="en-ID"/>
        </w:rPr>
      </w:pPr>
      <w:r w:rsidRPr="00A124AF">
        <w:rPr>
          <w:szCs w:val="28"/>
          <w:lang w:val="en-ID"/>
        </w:rPr>
        <w:t>Spinal cord injury is a serious medical condition that usually leads to death and permanent disability. It is caused by the disruption of axon nerves inside the spinal cord, affecting both motoric and sensory function below the level of the impacted vertebra. Most spinal cord injuries happen due to significant trauma and primary irreversible injur</w:t>
      </w:r>
      <w:r w:rsidR="004C2B27">
        <w:rPr>
          <w:szCs w:val="28"/>
          <w:lang w:val="en-ID"/>
        </w:rPr>
        <w:t xml:space="preserve">y in people under 30 years old </w:t>
      </w:r>
      <w:r w:rsidR="004C2B27">
        <w:rPr>
          <w:szCs w:val="28"/>
          <w:lang w:val="en-ID"/>
        </w:rPr>
        <w:fldChar w:fldCharType="begin" w:fldLock="1"/>
      </w:r>
      <w:r w:rsidR="004C2B27">
        <w:rPr>
          <w:szCs w:val="28"/>
          <w:lang w:val="en-ID"/>
        </w:rPr>
        <w:instrText>ADDIN CSL_CITATION {"citationItems":[{"id":"ITEM-1","itemData":{"author":[{"dropping-particle":"","family":"Tindle","given":"Jacob","non-dropping-particle":"","parse-names":false,"suffix":""},{"dropping-particle":"","family":"Tadi","given":"Prasanna","non-dropping-particle":"","parse-names":false,"suffix":""}],"container-title":"StatPearls [Internet]","id":"ITEM-1","issued":{"date-parts":[["2022"]]},"publisher":"StatPearls Publishing","title":"Neuroanatomy, parasympathetic nervous system","type":"chapter"},"uris":["http://www.mendeley.com/documents/?uuid=034ae699-dfaa-45e8-b299-d96029ad564a"]}],"mendeley":{"formattedCitation":"(Tindle &amp; Tadi, 2022)","plainTextFormattedCitation":"(Tindle &amp; Tadi, 2022)","previouslyFormattedCitation":"(Tindle &amp; Tadi, 2022)"},"properties":{"noteIndex":0},"schema":"https://github.com/citation-style-language/schema/raw/master/csl-citation.json"}</w:instrText>
      </w:r>
      <w:r w:rsidR="004C2B27">
        <w:rPr>
          <w:szCs w:val="28"/>
          <w:lang w:val="en-ID"/>
        </w:rPr>
        <w:fldChar w:fldCharType="separate"/>
      </w:r>
      <w:r w:rsidR="004C2B27" w:rsidRPr="004C2B27">
        <w:rPr>
          <w:noProof/>
          <w:szCs w:val="28"/>
          <w:lang w:val="en-ID"/>
        </w:rPr>
        <w:t>(Tindle &amp; Tadi, 2022)</w:t>
      </w:r>
      <w:r w:rsidR="004C2B27">
        <w:rPr>
          <w:szCs w:val="28"/>
          <w:lang w:val="en-ID"/>
        </w:rPr>
        <w:fldChar w:fldCharType="end"/>
      </w:r>
      <w:r w:rsidR="004C2B27">
        <w:rPr>
          <w:szCs w:val="28"/>
          <w:lang w:val="en-ID"/>
        </w:rPr>
        <w:t>.</w:t>
      </w:r>
      <w:r w:rsidRPr="00A124AF">
        <w:rPr>
          <w:szCs w:val="28"/>
          <w:lang w:val="en-ID"/>
        </w:rPr>
        <w:t xml:space="preserve"> In America, around 17.500 new cases are reported annually. The total case in Asia remains unclear. In a 2019 study in Saudi Arabia, spinal cord injury incidence reaches 38 per 1 million</w:t>
      </w:r>
      <w:r w:rsidR="004C2B27">
        <w:rPr>
          <w:szCs w:val="28"/>
          <w:lang w:val="en-ID"/>
        </w:rPr>
        <w:t xml:space="preserve"> </w:t>
      </w:r>
      <w:r w:rsidR="004C2B27">
        <w:rPr>
          <w:szCs w:val="28"/>
          <w:lang w:val="en-ID"/>
        </w:rPr>
        <w:fldChar w:fldCharType="begin" w:fldLock="1"/>
      </w:r>
      <w:r w:rsidR="004C2B27">
        <w:rPr>
          <w:szCs w:val="28"/>
          <w:lang w:val="en-ID"/>
        </w:rPr>
        <w:instrText>ADDIN CSL_CITATION {"citationItems":[{"id":"ITEM-1","itemData":{"ISSN":"2058-6124","author":[{"dropping-particle":"","family":"Alexander","given":"Hepzibha","non-dropping-particle":"","parse-names":false,"suffix":""},{"dropping-particle":"","family":"Dowlati","given":"Ehsan","non-dropping-particle":"","parse-names":false,"suffix":""},{"dropping-particle":"","family":"McGowan","given":"Jason E","non-dropping-particle":"","parse-names":false,"suffix":""},{"dropping-particle":"","family":"Mason","given":"Robert B","non-dropping-particle":"","parse-names":false,"suffix":""},{"dropping-particle":"","family":"Anaizi","given":"Amjad","non-dropping-particle":"","parse-names":false,"suffix":""}],"container-title":"Spinal Cord Series and Cases","id":"ITEM-1","issue":"1","issued":{"date-parts":[["2019"]]},"page":"4","publisher":"Nature Publishing Group UK London","title":"C2–C3 spinal fracture subluxation with ligamentous and vascular injury: a case report and review of management","type":"article-journal","volume":"5"},"uris":["http://www.mendeley.com/documents/?uuid=3f603c3d-4130-4e7d-b6dd-75899152c4fb"]}],"mendeley":{"formattedCitation":"(Alexander et al., 2019)","plainTextFormattedCitation":"(Alexander et al., 2019)","previouslyFormattedCitation":"(Alexander et al., 2019)"},"properties":{"noteIndex":0},"schema":"https://github.com/citation-style-language/schema/raw/master/csl-citation.json"}</w:instrText>
      </w:r>
      <w:r w:rsidR="004C2B27">
        <w:rPr>
          <w:szCs w:val="28"/>
          <w:lang w:val="en-ID"/>
        </w:rPr>
        <w:fldChar w:fldCharType="separate"/>
      </w:r>
      <w:r w:rsidR="004C2B27" w:rsidRPr="004C2B27">
        <w:rPr>
          <w:noProof/>
          <w:szCs w:val="28"/>
          <w:lang w:val="en-ID"/>
        </w:rPr>
        <w:t>(Alexander et al., 2019)</w:t>
      </w:r>
      <w:r w:rsidR="004C2B27">
        <w:rPr>
          <w:szCs w:val="28"/>
          <w:lang w:val="en-ID"/>
        </w:rPr>
        <w:fldChar w:fldCharType="end"/>
      </w:r>
      <w:r w:rsidR="004C2B27">
        <w:rPr>
          <w:szCs w:val="28"/>
          <w:lang w:val="en-ID"/>
        </w:rPr>
        <w:t xml:space="preserve">. </w:t>
      </w:r>
      <w:r w:rsidRPr="00A124AF">
        <w:rPr>
          <w:szCs w:val="28"/>
          <w:lang w:val="en-ID"/>
        </w:rPr>
        <w:t xml:space="preserve">One of the most common injuries found is dislocation fracture. Subluxation is commonly seen in lower segments, from C4 to C7, and only 24% of cases happened above C4. </w:t>
      </w:r>
    </w:p>
    <w:p w:rsidR="0080372A" w:rsidRDefault="00A124AF" w:rsidP="00A124AF">
      <w:pPr>
        <w:pStyle w:val="ListParagraph"/>
        <w:spacing w:line="276" w:lineRule="auto"/>
        <w:ind w:leftChars="0" w:left="0" w:firstLineChars="0" w:firstLine="709"/>
        <w:contextualSpacing/>
        <w:jc w:val="both"/>
        <w:textDirection w:val="lrTb"/>
        <w:textAlignment w:val="auto"/>
        <w:outlineLvl w:val="9"/>
        <w:rPr>
          <w:szCs w:val="28"/>
          <w:lang w:val="en-ID"/>
        </w:rPr>
      </w:pPr>
      <w:r w:rsidRPr="00A124AF">
        <w:rPr>
          <w:szCs w:val="28"/>
          <w:lang w:val="en-ID"/>
        </w:rPr>
        <w:t>Dislocation injury at the lev</w:t>
      </w:r>
      <w:r w:rsidR="004C2B27">
        <w:rPr>
          <w:szCs w:val="28"/>
          <w:lang w:val="en-ID"/>
        </w:rPr>
        <w:t xml:space="preserve">el of C2-C3 is infrequent </w:t>
      </w:r>
      <w:r w:rsidR="004C2B27">
        <w:rPr>
          <w:szCs w:val="28"/>
          <w:lang w:val="en-ID"/>
        </w:rPr>
        <w:fldChar w:fldCharType="begin" w:fldLock="1"/>
      </w:r>
      <w:r w:rsidR="004C2B27">
        <w:rPr>
          <w:szCs w:val="28"/>
          <w:lang w:val="en-ID"/>
        </w:rPr>
        <w:instrText>ADDIN CSL_CITATION {"citationItems":[{"id":"ITEM-1","itemData":{"ISSN":"2168-8184","author":[{"dropping-particle":"","family":"Kiessling","given":"John W","non-dropping-particle":"","parse-names":false,"suffix":""},{"dropping-particle":"","family":"Whitney","given":"Eric","non-dropping-particle":"","parse-names":false,"suffix":""},{"dropping-particle":"","family":"Fiani","given":"Brian","non-dropping-particle":"","parse-names":false,"suffix":""},{"dropping-particle":"","family":"Khan","given":"Yasir R","non-dropping-particle":"","parse-names":false,"suffix":""},{"dropping-particle":"","family":"Mahato","given":"Deependra","non-dropping-particle":"","parse-names":false,"suffix":""}],"container-title":"Cureus","id":"ITEM-1","issue":"8","issued":{"date-parts":[["2019"]]},"publisher":"Cureus","title":"C2-3 fracture dislocation and bilateral vertebral artery occlusion without neurological injury: a case report","type":"article-journal","volume":"11"},"uris":["http://www.mendeley.com/documents/?uuid=608416fe-959d-43eb-ad3b-c723c3a4a2f8"]}],"mendeley":{"formattedCitation":"(Kiessling et al., 2019)","plainTextFormattedCitation":"(Kiessling et al., 2019)","previouslyFormattedCitation":"(Kiessling et al., 2019)"},"properties":{"noteIndex":0},"schema":"https://github.com/citation-style-language/schema/raw/master/csl-citation.json"}</w:instrText>
      </w:r>
      <w:r w:rsidR="004C2B27">
        <w:rPr>
          <w:szCs w:val="28"/>
          <w:lang w:val="en-ID"/>
        </w:rPr>
        <w:fldChar w:fldCharType="separate"/>
      </w:r>
      <w:r w:rsidR="004C2B27" w:rsidRPr="004C2B27">
        <w:rPr>
          <w:noProof/>
          <w:szCs w:val="28"/>
          <w:lang w:val="en-ID"/>
        </w:rPr>
        <w:t>(Kiessling et al., 2019)</w:t>
      </w:r>
      <w:r w:rsidR="004C2B27">
        <w:rPr>
          <w:szCs w:val="28"/>
          <w:lang w:val="en-ID"/>
        </w:rPr>
        <w:fldChar w:fldCharType="end"/>
      </w:r>
      <w:r w:rsidR="004C2B27">
        <w:rPr>
          <w:szCs w:val="28"/>
          <w:lang w:val="en-ID"/>
        </w:rPr>
        <w:t>.</w:t>
      </w:r>
      <w:r w:rsidRPr="00A124AF">
        <w:rPr>
          <w:szCs w:val="28"/>
          <w:lang w:val="en-ID"/>
        </w:rPr>
        <w:t xml:space="preserve"> However, regardless of the type, total recovery to condition pre-injury is hard to achieve. One of the symptoms is complete or incomplete tetraplegia or paraplegia. Considering the severe consequences of this kind of injury, it is crucial to perform a thorough evaluation, especially in polytrauma and cervical spine trauma that potentially cause stroke in posterior circulation or cervical trauma accompanied by fracture and dislocation. Bad progression of symptoms can still happen despite being asymptomatic. Patient's condition evaluation becomes hard since there's no agreed algorithm used in deciding therapy approach. </w:t>
      </w:r>
    </w:p>
    <w:p w:rsidR="00A124AF" w:rsidRPr="00A124AF" w:rsidRDefault="00A124AF" w:rsidP="00A124AF">
      <w:pPr>
        <w:pStyle w:val="ListParagraph"/>
        <w:spacing w:line="276" w:lineRule="auto"/>
        <w:ind w:leftChars="0" w:left="0" w:firstLineChars="0" w:firstLine="709"/>
        <w:contextualSpacing/>
        <w:jc w:val="both"/>
        <w:textDirection w:val="lrTb"/>
        <w:textAlignment w:val="auto"/>
        <w:outlineLvl w:val="9"/>
        <w:rPr>
          <w:szCs w:val="28"/>
          <w:lang w:val="en-ID"/>
        </w:rPr>
      </w:pPr>
      <w:r w:rsidRPr="00A124AF">
        <w:rPr>
          <w:szCs w:val="28"/>
          <w:lang w:val="en-ID"/>
        </w:rPr>
        <w:t xml:space="preserve">Generally, </w:t>
      </w:r>
      <w:proofErr w:type="spellStart"/>
      <w:r w:rsidRPr="00A124AF">
        <w:rPr>
          <w:szCs w:val="28"/>
          <w:lang w:val="en-ID"/>
        </w:rPr>
        <w:t>subaxial</w:t>
      </w:r>
      <w:proofErr w:type="spellEnd"/>
      <w:r w:rsidRPr="00A124AF">
        <w:rPr>
          <w:szCs w:val="28"/>
          <w:lang w:val="en-ID"/>
        </w:rPr>
        <w:t xml:space="preserve"> injury classification encompasses neurological clinical outcome scoring, trauma morphology, </w:t>
      </w:r>
      <w:proofErr w:type="spellStart"/>
      <w:r w:rsidRPr="00A124AF">
        <w:rPr>
          <w:szCs w:val="28"/>
          <w:lang w:val="en-ID"/>
        </w:rPr>
        <w:t>discoligamentous</w:t>
      </w:r>
      <w:proofErr w:type="spellEnd"/>
      <w:r w:rsidRPr="00A124AF">
        <w:rPr>
          <w:szCs w:val="28"/>
          <w:lang w:val="en-ID"/>
        </w:rPr>
        <w:t xml:space="preserve"> integrity and neurology status. If the patient scored less or equal to three, the patient could be managed conservatively. However, a surgical procedure must be done if the score is more significant than five</w:t>
      </w:r>
      <w:r w:rsidR="004C2B27">
        <w:rPr>
          <w:szCs w:val="28"/>
          <w:lang w:val="en-ID"/>
        </w:rPr>
        <w:t xml:space="preserve"> </w:t>
      </w:r>
      <w:r w:rsidR="004C2B27">
        <w:rPr>
          <w:szCs w:val="28"/>
          <w:lang w:val="en-ID"/>
        </w:rPr>
        <w:fldChar w:fldCharType="begin" w:fldLock="1"/>
      </w:r>
      <w:r w:rsidR="008D0AAC">
        <w:rPr>
          <w:szCs w:val="28"/>
          <w:lang w:val="en-ID"/>
        </w:rPr>
        <w:instrText>ADDIN CSL_CITATION {"citationItems":[{"id":"ITEM-1","itemData":{"ISSN":"2168-8184","author":[{"dropping-particle":"","family":"Mehdar","given":"Khlood M","non-dropping-particle":"","parse-names":false,"suffix":""},{"dropping-particle":"","family":"Mahjari","given":"Ahood A","non-dropping-particle":"","parse-names":false,"suffix":""},{"dropping-particle":"","family":"Rashah","given":"Ali A","non-dropping-particle":"Al","parse-names":false,"suffix":""},{"dropping-particle":"","family":"Alyazidi","given":"Abdullah","non-dropping-particle":"","parse-names":false,"suffix":""},{"dropping-particle":"","family":"Mahjri","given":"Ahood A","non-dropping-particle":"","parse-names":false,"suffix":""}],"container-title":"Cureus Journal of Medical Science","id":"ITEM-1","issue":"12","issued":{"date-parts":[["2019"]]},"publisher":"Cureus","title":"Epidemiology of spinal cord injuries and their outcomes: a retrospective study at the King Khalid Hospital","type":"article-journal","volume":"11"},"uris":["http://www.mendeley.com/documents/?uuid=e0d97e29-c40f-427f-9ac0-be1f9628f58f"]}],"mendeley":{"formattedCitation":"(Mehdar et al., 2019)","plainTextFormattedCitation":"(Mehdar et al., 2019)","previouslyFormattedCitation":"(Mehdar et al., 2019)"},"properties":{"noteIndex":0},"schema":"https://github.com/citation-style-language/schema/raw/master/csl-citation.json"}</w:instrText>
      </w:r>
      <w:r w:rsidR="004C2B27">
        <w:rPr>
          <w:szCs w:val="28"/>
          <w:lang w:val="en-ID"/>
        </w:rPr>
        <w:fldChar w:fldCharType="separate"/>
      </w:r>
      <w:r w:rsidR="004C2B27" w:rsidRPr="004C2B27">
        <w:rPr>
          <w:noProof/>
          <w:szCs w:val="28"/>
          <w:lang w:val="en-ID"/>
        </w:rPr>
        <w:t>(Mehdar et al., 2019)</w:t>
      </w:r>
      <w:r w:rsidR="004C2B27">
        <w:rPr>
          <w:szCs w:val="28"/>
          <w:lang w:val="en-ID"/>
        </w:rPr>
        <w:fldChar w:fldCharType="end"/>
      </w:r>
      <w:r w:rsidR="004C2B27">
        <w:rPr>
          <w:szCs w:val="28"/>
          <w:lang w:val="en-ID"/>
        </w:rPr>
        <w:t>.</w:t>
      </w:r>
      <w:r w:rsidRPr="00A124AF">
        <w:rPr>
          <w:szCs w:val="28"/>
          <w:lang w:val="en-ID"/>
        </w:rPr>
        <w:t xml:space="preserve"> </w:t>
      </w:r>
    </w:p>
    <w:p w:rsidR="00A124AF" w:rsidRPr="00A124AF" w:rsidRDefault="00A124AF" w:rsidP="00A124AF">
      <w:pPr>
        <w:pStyle w:val="ListParagraph"/>
        <w:spacing w:line="276" w:lineRule="auto"/>
        <w:ind w:leftChars="0" w:left="0" w:firstLineChars="0" w:firstLine="709"/>
        <w:contextualSpacing/>
        <w:jc w:val="both"/>
        <w:textDirection w:val="lrTb"/>
        <w:textAlignment w:val="auto"/>
        <w:outlineLvl w:val="9"/>
        <w:rPr>
          <w:szCs w:val="28"/>
          <w:lang w:val="en-ID"/>
        </w:rPr>
      </w:pPr>
      <w:r w:rsidRPr="00A124AF">
        <w:rPr>
          <w:szCs w:val="28"/>
          <w:lang w:val="en-ID"/>
        </w:rPr>
        <w:t>Cervical spine fracture can be handled with external fixation using orthosis or halo fixation, decompression procedure and internal fixation, depending on fracture type, instability and spinal cord compression degree. The primary purpose of the operation is to decompress the nerves' structure and to stabilize the injured vertebra segment. This approach allows the patient to do early mobilization, support recovery while healing other injuries, provides rehabilitation, and facilitates dail</w:t>
      </w:r>
      <w:r w:rsidR="008D0AAC">
        <w:rPr>
          <w:szCs w:val="28"/>
          <w:lang w:val="en-ID"/>
        </w:rPr>
        <w:t xml:space="preserve">y activities adaptation faster </w:t>
      </w:r>
      <w:r w:rsidR="008D0AAC">
        <w:rPr>
          <w:szCs w:val="28"/>
          <w:lang w:val="en-ID"/>
        </w:rPr>
        <w:fldChar w:fldCharType="begin" w:fldLock="1"/>
      </w:r>
      <w:r w:rsidR="008D0AAC">
        <w:rPr>
          <w:szCs w:val="28"/>
          <w:lang w:val="en-ID"/>
        </w:rPr>
        <w:instrText>ADDIN CSL_CITATION {"citationItems":[{"id":"ITEM-1","itemData":{"DOI":"10.1177/2192568220903741","author":[{"dropping-particle":"","family":"Abdelgawaad","given":"Ahmed Shawky","non-dropping-particle":"","parse-names":false,"suffix":""},{"dropping-particle":"","family":"Metry","given":"Arsany B S","non-dropping-particle":"","parse-names":false,"suffix":""},{"dropping-particle":"","family":"Elnady","given":"Belal","non-dropping-particle":"","parse-names":false,"suffix":""},{"dropping-particle":"El","family":"Sheriff","given":"Essam","non-dropping-particle":"","parse-names":false,"suffix":""}],"id":"ITEM-1","issue":"3","issued":{"date-parts":[["2021"]]},"page":"312-320","title":"Anterior Cervical Reduction Decompression Fusion With Plating for Management of Traumatic Subaxial Cervical Spine Dislocations","type":"article-journal","volume":"11"},"uris":["http://www.mendeley.com/documents/?uuid=d1136dfd-6405-4c92-91b9-df77d4b6887c"]}],"mendeley":{"formattedCitation":"(Abdelgawaad et al., 2021)","plainTextFormattedCitation":"(Abdelgawaad et al., 2021)","previouslyFormattedCitation":"(Abdelgawaad et al., 2021)"},"properties":{"noteIndex":0},"schema":"https://github.com/citation-style-language/schema/raw/master/csl-citation.json"}</w:instrText>
      </w:r>
      <w:r w:rsidR="008D0AAC">
        <w:rPr>
          <w:szCs w:val="28"/>
          <w:lang w:val="en-ID"/>
        </w:rPr>
        <w:fldChar w:fldCharType="separate"/>
      </w:r>
      <w:r w:rsidR="008D0AAC" w:rsidRPr="008D0AAC">
        <w:rPr>
          <w:noProof/>
          <w:szCs w:val="28"/>
          <w:lang w:val="en-ID"/>
        </w:rPr>
        <w:t>(Abdelgawaad et al., 2021)</w:t>
      </w:r>
      <w:r w:rsidR="008D0AAC">
        <w:rPr>
          <w:szCs w:val="28"/>
          <w:lang w:val="en-ID"/>
        </w:rPr>
        <w:fldChar w:fldCharType="end"/>
      </w:r>
      <w:r w:rsidR="008D0AAC">
        <w:rPr>
          <w:szCs w:val="28"/>
          <w:lang w:val="en-ID"/>
        </w:rPr>
        <w:t xml:space="preserve">. </w:t>
      </w:r>
      <w:r w:rsidRPr="00A124AF">
        <w:rPr>
          <w:szCs w:val="28"/>
          <w:lang w:val="en-ID"/>
        </w:rPr>
        <w:t>Outcomes from spinal cord injuries vary, but injury around the cervical segment is usually more severe with higher mortality risk than other segments due to its risk of damaging the phrenic nerve and respiratory centre. Moreover, secondary injury can cause systemic shock, spinal shock and hyperthermia that contribute to the clini</w:t>
      </w:r>
      <w:r w:rsidR="008D0AAC">
        <w:rPr>
          <w:szCs w:val="28"/>
          <w:lang w:val="en-ID"/>
        </w:rPr>
        <w:t xml:space="preserve">cal course and hinder recovery </w:t>
      </w:r>
      <w:r w:rsidR="008D0AAC">
        <w:rPr>
          <w:szCs w:val="28"/>
          <w:lang w:val="en-ID"/>
        </w:rPr>
        <w:fldChar w:fldCharType="begin" w:fldLock="1"/>
      </w:r>
      <w:r w:rsidR="008D0AAC">
        <w:rPr>
          <w:szCs w:val="28"/>
          <w:lang w:val="en-ID"/>
        </w:rPr>
        <w:instrText>ADDIN CSL_CITATION {"citationItems":[{"id":"ITEM-1","itemData":{"ISSN":"0897-7151","author":[{"dropping-particle":"","family":"Mattiassich","given":"Georg","non-dropping-particle":"","parse-names":false,"suffix":""},{"dropping-particle":"","family":"Gollwitzer","given":"Maria","non-dropping-particle":"","parse-names":false,"suffix":""},{"dropping-particle":"","family":"Gaderer","given":"Franz","non-dropping-particle":"","parse-names":false,"suffix":""},{"dropping-particle":"","family":"Blocher","given":"Martina","non-dropping-particle":"","parse-names":false,"suffix":""},{"dropping-particle":"","family":"Osti","given":"Michael","non-dropping-particle":"","parse-names":false,"suffix":""},{"dropping-particle":"","family":"Lill","given":"Markkus","non-dropping-particle":"","parse-names":false,"suffix":""},{"dropping-particle":"","family":"Ortmaier","given":"Reinhold","non-dropping-particle":"","parse-names":false,"suffix":""},{"dropping-particle":"","family":"Haider","given":"Thomas","non-dropping-particle":"","parse-names":false,"suffix":""},{"dropping-particle":"","family":"Hitzl","given":"Wolfgang","non-dropping-particle":"","parse-names":false,"suffix":""},{"dropping-particle":"","family":"Resch","given":"Herbert","non-dropping-particle":"","parse-names":false,"suffix":""}],"container-title":"Journal of Neurotrauma","id":"ITEM-1","issue":"24","issued":{"date-parts":[["2017"]]},"page":"3362-3371","publisher":"Mary Ann Liebert, Inc. 140 Huguenot Street, 3rd Floor New Rochelle, NY 10801 USA","title":"Functional outcomes in individuals undergoing very early (&lt; 5 h) and early (5–24 h) surgical decompression in traumatic cervical spinal cord injury: analysis of neurological improvement from the Austrian Spinal Cord Injury Study","type":"article-journal","volume":"34"},"uris":["http://www.mendeley.com/documents/?uuid=b66a7474-4bea-4e41-8369-53cad61b1ade"]}],"mendeley":{"formattedCitation":"(Mattiassich et al., 2017)","plainTextFormattedCitation":"(Mattiassich et al., 2017)","previouslyFormattedCitation":"(Mattiassich et al., 2017)"},"properties":{"noteIndex":0},"schema":"https://github.com/citation-style-language/schema/raw/master/csl-citation.json"}</w:instrText>
      </w:r>
      <w:r w:rsidR="008D0AAC">
        <w:rPr>
          <w:szCs w:val="28"/>
          <w:lang w:val="en-ID"/>
        </w:rPr>
        <w:fldChar w:fldCharType="separate"/>
      </w:r>
      <w:r w:rsidR="008D0AAC" w:rsidRPr="008D0AAC">
        <w:rPr>
          <w:noProof/>
          <w:szCs w:val="28"/>
          <w:lang w:val="en-ID"/>
        </w:rPr>
        <w:t>(Mattiassich et al., 2017)</w:t>
      </w:r>
      <w:r w:rsidR="008D0AAC">
        <w:rPr>
          <w:szCs w:val="28"/>
          <w:lang w:val="en-ID"/>
        </w:rPr>
        <w:fldChar w:fldCharType="end"/>
      </w:r>
      <w:r w:rsidR="008D0AAC">
        <w:rPr>
          <w:szCs w:val="28"/>
          <w:lang w:val="en-ID"/>
        </w:rPr>
        <w:t>.</w:t>
      </w:r>
    </w:p>
    <w:p w:rsidR="00016455" w:rsidRDefault="00A124AF" w:rsidP="00A124AF">
      <w:pPr>
        <w:pStyle w:val="ListParagraph"/>
        <w:spacing w:line="276" w:lineRule="auto"/>
        <w:ind w:leftChars="0" w:left="0" w:firstLineChars="0" w:firstLine="709"/>
        <w:contextualSpacing/>
        <w:jc w:val="both"/>
        <w:textDirection w:val="lrTb"/>
        <w:textAlignment w:val="auto"/>
        <w:outlineLvl w:val="9"/>
      </w:pPr>
      <w:r w:rsidRPr="00A124AF">
        <w:rPr>
          <w:szCs w:val="28"/>
          <w:lang w:val="en-ID"/>
        </w:rPr>
        <w:t>This case study reports a case of a 17 years old male patient with a dislocation fracture at the level of C2-C3 that came in with a complaint of tetraplegia in the emergency room 7 hours before being admitted to the hospital after the neck was</w:t>
      </w:r>
      <w:r>
        <w:rPr>
          <w:szCs w:val="28"/>
          <w:lang w:val="en-ID"/>
        </w:rPr>
        <w:t xml:space="preserve"> hit to the corner of the table</w:t>
      </w:r>
      <w:r w:rsidR="00F22B37">
        <w:t>.</w:t>
      </w:r>
      <w:r w:rsidR="003641CB">
        <w:t xml:space="preserve"> </w:t>
      </w:r>
      <w:r w:rsidR="003641CB" w:rsidRPr="00A341B9">
        <w:t xml:space="preserve"> </w:t>
      </w:r>
    </w:p>
    <w:p w:rsidR="00111AD1" w:rsidRPr="00A341B9" w:rsidRDefault="00111AD1" w:rsidP="005A7286">
      <w:pPr>
        <w:pStyle w:val="ListParagraph"/>
        <w:spacing w:line="276" w:lineRule="auto"/>
        <w:ind w:leftChars="0" w:left="0" w:firstLineChars="0" w:firstLine="720"/>
        <w:contextualSpacing/>
        <w:jc w:val="both"/>
        <w:textDirection w:val="lrTb"/>
        <w:textAlignment w:val="auto"/>
        <w:outlineLvl w:val="9"/>
      </w:pPr>
    </w:p>
    <w:p w:rsidR="006C7B64" w:rsidRDefault="00F22B37" w:rsidP="006C7B64">
      <w:pPr>
        <w:pStyle w:val="ListParagraph"/>
        <w:spacing w:line="276" w:lineRule="auto"/>
        <w:ind w:left="-2" w:firstLineChars="0" w:firstLine="2"/>
        <w:contextualSpacing/>
        <w:jc w:val="both"/>
        <w:rPr>
          <w:rFonts w:eastAsia="Tahoma"/>
          <w:b/>
        </w:rPr>
      </w:pPr>
      <w:bookmarkStart w:id="1" w:name="_heading=h.gjdgxs" w:colFirst="0" w:colLast="0"/>
      <w:bookmarkEnd w:id="1"/>
      <w:r w:rsidRPr="006C7B64">
        <w:rPr>
          <w:rFonts w:eastAsia="Tahoma"/>
          <w:b/>
        </w:rPr>
        <w:lastRenderedPageBreak/>
        <w:t>METHODS</w:t>
      </w:r>
    </w:p>
    <w:p w:rsidR="00AE7FBE" w:rsidRDefault="004C2B27" w:rsidP="004C2B27">
      <w:pPr>
        <w:pStyle w:val="ListParagraph"/>
        <w:spacing w:line="276" w:lineRule="auto"/>
        <w:ind w:left="-2" w:firstLineChars="0" w:firstLine="2"/>
        <w:contextualSpacing/>
        <w:jc w:val="both"/>
        <w:rPr>
          <w:rFonts w:asciiTheme="majorBidi" w:hAnsiTheme="majorBidi" w:cstheme="majorBidi"/>
          <w:bCs/>
          <w:lang w:val="id-ID"/>
        </w:rPr>
      </w:pPr>
      <w:r w:rsidRPr="004C2B27">
        <w:rPr>
          <w:rFonts w:asciiTheme="majorBidi" w:hAnsiTheme="majorBidi" w:cstheme="majorBidi"/>
          <w:bCs/>
          <w:lang w:val="id-ID"/>
        </w:rPr>
        <w:t>Using the case study method</w:t>
      </w:r>
      <w:r w:rsidR="004416F1">
        <w:rPr>
          <w:rFonts w:asciiTheme="majorBidi" w:hAnsiTheme="majorBidi" w:cstheme="majorBidi"/>
          <w:bCs/>
          <w:lang w:val="id-ID"/>
        </w:rPr>
        <w:t>.</w:t>
      </w:r>
    </w:p>
    <w:p w:rsidR="008A589D" w:rsidRPr="00BA14A5" w:rsidRDefault="008A589D" w:rsidP="00320E6C">
      <w:pPr>
        <w:pStyle w:val="ListParagraph"/>
        <w:spacing w:line="276" w:lineRule="auto"/>
        <w:ind w:left="-2" w:firstLineChars="295" w:firstLine="708"/>
        <w:contextualSpacing/>
        <w:jc w:val="both"/>
        <w:rPr>
          <w:rFonts w:asciiTheme="majorBidi" w:hAnsiTheme="majorBidi" w:cstheme="majorBidi"/>
          <w:bCs/>
          <w:lang w:val="id-ID"/>
        </w:rPr>
      </w:pPr>
    </w:p>
    <w:p w:rsidR="00D458F9" w:rsidRDefault="00F22B37" w:rsidP="00320E6C">
      <w:pPr>
        <w:spacing w:line="276" w:lineRule="auto"/>
        <w:ind w:leftChars="0" w:left="0" w:firstLineChars="0" w:firstLine="0"/>
        <w:contextualSpacing/>
        <w:jc w:val="both"/>
        <w:rPr>
          <w:rFonts w:eastAsia="Tahoma"/>
          <w:b/>
        </w:rPr>
      </w:pPr>
      <w:r w:rsidRPr="006C7B64">
        <w:rPr>
          <w:rFonts w:eastAsia="Tahoma"/>
          <w:b/>
        </w:rPr>
        <w:t>RESULTS AND DISCUSSION</w:t>
      </w:r>
    </w:p>
    <w:p w:rsidR="00A124AF" w:rsidRPr="00A124AF" w:rsidRDefault="00A124AF" w:rsidP="00A124AF">
      <w:pPr>
        <w:spacing w:line="276" w:lineRule="auto"/>
        <w:ind w:leftChars="0" w:left="0" w:firstLineChars="0" w:firstLine="0"/>
        <w:contextualSpacing/>
        <w:jc w:val="both"/>
        <w:rPr>
          <w:rFonts w:eastAsia="Tahoma"/>
          <w:b/>
          <w:bCs/>
        </w:rPr>
      </w:pPr>
      <w:r w:rsidRPr="00A124AF">
        <w:rPr>
          <w:rFonts w:eastAsia="Tahoma"/>
          <w:b/>
          <w:bCs/>
        </w:rPr>
        <w:t>Case Presentation</w:t>
      </w:r>
    </w:p>
    <w:p w:rsidR="00A124AF" w:rsidRDefault="00A124AF" w:rsidP="00A124AF">
      <w:pPr>
        <w:spacing w:line="276" w:lineRule="auto"/>
        <w:ind w:leftChars="0" w:left="0" w:firstLineChars="0" w:firstLine="709"/>
        <w:contextualSpacing/>
        <w:jc w:val="both"/>
        <w:rPr>
          <w:rFonts w:eastAsia="Tahoma"/>
        </w:rPr>
      </w:pPr>
      <w:r w:rsidRPr="00A124AF">
        <w:rPr>
          <w:rFonts w:eastAsia="Tahoma"/>
        </w:rPr>
        <w:t>A 17 years old male came in due to his inability to move all extremities (tetraplegia) for 7 hours before hospital admission. The patient was referred from the regional hospital with a history of cervical spine injury and motoric dysfunction right after the incident. At first, the patient played with his friends, then he got pushed, and his neck was hit on the corner of the table. Shortly afterward, the patient couldn’t get back on his feet. The patient was diagnosed with dislocation fracture C2/C3 with spinal cord compression, causing the tetraplegic symptoms.</w:t>
      </w:r>
    </w:p>
    <w:p w:rsidR="00A124AF" w:rsidRPr="00A124AF" w:rsidRDefault="00A124AF" w:rsidP="00A124AF">
      <w:pPr>
        <w:spacing w:line="276" w:lineRule="auto"/>
        <w:ind w:leftChars="0" w:left="0" w:firstLineChars="0" w:firstLine="709"/>
        <w:contextualSpacing/>
        <w:jc w:val="both"/>
        <w:rPr>
          <w:rFonts w:eastAsia="Tahoma"/>
        </w:rPr>
      </w:pPr>
    </w:p>
    <w:p w:rsidR="00A124AF" w:rsidRPr="00A124AF" w:rsidRDefault="00A124AF" w:rsidP="00A124AF">
      <w:pPr>
        <w:spacing w:line="276" w:lineRule="auto"/>
        <w:ind w:leftChars="0" w:left="0" w:firstLineChars="0" w:firstLine="0"/>
        <w:contextualSpacing/>
        <w:jc w:val="both"/>
        <w:rPr>
          <w:rFonts w:eastAsia="Tahoma"/>
          <w:b/>
        </w:rPr>
      </w:pPr>
      <w:r w:rsidRPr="00A124AF">
        <w:rPr>
          <w:rFonts w:eastAsia="Tahoma"/>
          <w:b/>
        </w:rPr>
        <w:t>Figure</w:t>
      </w:r>
      <w:r w:rsidRPr="00A124AF">
        <w:rPr>
          <w:rFonts w:eastAsia="Tahoma"/>
          <w:b/>
          <w:lang w:val="id-ID"/>
        </w:rPr>
        <w:t xml:space="preserve"> 1. </w:t>
      </w:r>
      <w:r w:rsidRPr="00A124AF">
        <w:rPr>
          <w:rFonts w:eastAsia="Tahoma"/>
          <w:b/>
        </w:rPr>
        <w:t>X-Ray finding showing C2-C3       Figure</w:t>
      </w:r>
      <w:r w:rsidRPr="00A124AF">
        <w:rPr>
          <w:rFonts w:eastAsia="Tahoma"/>
          <w:b/>
          <w:lang w:val="id-ID"/>
        </w:rPr>
        <w:t xml:space="preserve"> 2. </w:t>
      </w:r>
      <w:r w:rsidRPr="00A124AF">
        <w:rPr>
          <w:rFonts w:eastAsia="Tahoma"/>
          <w:b/>
        </w:rPr>
        <w:t>3D CT-Scan showing C2-C3 dislocation fracture</w:t>
      </w:r>
      <w:r w:rsidRPr="00A124AF">
        <w:rPr>
          <w:rFonts w:eastAsia="Tahoma"/>
          <w:b/>
        </w:rPr>
        <w:tab/>
      </w:r>
      <w:r w:rsidRPr="00A124AF">
        <w:rPr>
          <w:rFonts w:eastAsia="Tahoma"/>
          <w:b/>
        </w:rPr>
        <w:tab/>
      </w:r>
      <w:r w:rsidRPr="00A124AF">
        <w:rPr>
          <w:rFonts w:eastAsia="Tahoma"/>
          <w:b/>
        </w:rPr>
        <w:tab/>
      </w:r>
      <w:proofErr w:type="gramStart"/>
      <w:r w:rsidRPr="00A124AF">
        <w:rPr>
          <w:rFonts w:eastAsia="Tahoma"/>
          <w:b/>
        </w:rPr>
        <w:tab/>
        <w:t xml:space="preserve">  dislocation</w:t>
      </w:r>
      <w:proofErr w:type="gramEnd"/>
      <w:r w:rsidRPr="00A124AF">
        <w:rPr>
          <w:rFonts w:eastAsia="Tahoma"/>
          <w:b/>
        </w:rPr>
        <w:t xml:space="preserve"> fracture</w:t>
      </w:r>
    </w:p>
    <w:p w:rsidR="00A124AF" w:rsidRPr="00A124AF" w:rsidRDefault="00A124AF" w:rsidP="00A124AF">
      <w:pPr>
        <w:spacing w:line="276" w:lineRule="auto"/>
        <w:ind w:leftChars="0" w:left="0" w:firstLineChars="0" w:firstLine="0"/>
        <w:contextualSpacing/>
        <w:jc w:val="both"/>
        <w:rPr>
          <w:rFonts w:eastAsia="Tahoma"/>
          <w:b/>
          <w:lang w:val="id-ID"/>
        </w:rPr>
      </w:pPr>
      <w:r w:rsidRPr="00A124AF">
        <w:rPr>
          <w:rFonts w:eastAsia="Tahoma"/>
          <w:b/>
          <w:lang w:val="id-ID"/>
        </w:rPr>
        <w:t xml:space="preserve">     </w:t>
      </w:r>
      <w:r w:rsidRPr="00A124AF">
        <w:rPr>
          <w:rFonts w:eastAsia="Tahoma"/>
          <w:b/>
          <w:noProof/>
          <w:lang w:eastAsia="en-US"/>
        </w:rPr>
        <w:drawing>
          <wp:inline distT="0" distB="0" distL="0" distR="0" wp14:anchorId="2F92EEFF" wp14:editId="32E784C1">
            <wp:extent cx="2047388" cy="2176780"/>
            <wp:effectExtent l="0" t="7620" r="2540" b="2540"/>
            <wp:docPr id="1026" name="Picture 20"/>
            <wp:cNvGraphicFramePr/>
            <a:graphic xmlns:a="http://schemas.openxmlformats.org/drawingml/2006/main">
              <a:graphicData uri="http://schemas.openxmlformats.org/drawingml/2006/picture">
                <pic:pic xmlns:pic="http://schemas.openxmlformats.org/drawingml/2006/picture">
                  <pic:nvPicPr>
                    <pic:cNvPr id="1026" name="Picture 20"/>
                    <pic:cNvPicPr/>
                  </pic:nvPicPr>
                  <pic:blipFill>
                    <a:blip r:embed="rId16" cstate="print"/>
                    <a:srcRect t="15005" r="50580" b="24622"/>
                    <a:stretch>
                      <a:fillRect/>
                    </a:stretch>
                  </pic:blipFill>
                  <pic:spPr>
                    <a:xfrm rot="5400000">
                      <a:off x="0" y="0"/>
                      <a:ext cx="2049116" cy="2178617"/>
                    </a:xfrm>
                    <a:prstGeom prst="rect">
                      <a:avLst/>
                    </a:prstGeom>
                  </pic:spPr>
                </pic:pic>
              </a:graphicData>
            </a:graphic>
          </wp:inline>
        </w:drawing>
      </w:r>
      <w:r w:rsidRPr="00A124AF">
        <w:rPr>
          <w:rFonts w:eastAsia="Tahoma"/>
          <w:b/>
          <w:lang w:val="id-ID"/>
        </w:rPr>
        <w:t xml:space="preserve">                 </w:t>
      </w:r>
      <w:r w:rsidRPr="00A124AF">
        <w:rPr>
          <w:rFonts w:eastAsia="Tahoma"/>
          <w:b/>
          <w:noProof/>
          <w:lang w:eastAsia="en-US"/>
        </w:rPr>
        <w:drawing>
          <wp:inline distT="0" distB="0" distL="0" distR="0" wp14:anchorId="76DCAAF7" wp14:editId="0A97B12E">
            <wp:extent cx="2114064" cy="1838960"/>
            <wp:effectExtent l="4128" t="0" r="4762" b="4763"/>
            <wp:docPr id="1027" name="Picture 21"/>
            <wp:cNvGraphicFramePr/>
            <a:graphic xmlns:a="http://schemas.openxmlformats.org/drawingml/2006/main">
              <a:graphicData uri="http://schemas.openxmlformats.org/drawingml/2006/picture">
                <pic:pic xmlns:pic="http://schemas.openxmlformats.org/drawingml/2006/picture">
                  <pic:nvPicPr>
                    <pic:cNvPr id="1027" name="Picture 21"/>
                    <pic:cNvPicPr/>
                  </pic:nvPicPr>
                  <pic:blipFill>
                    <a:blip r:embed="rId17" cstate="print"/>
                    <a:srcRect l="8945" t="50371" r="66189" b="23807"/>
                    <a:stretch>
                      <a:fillRect/>
                    </a:stretch>
                  </pic:blipFill>
                  <pic:spPr>
                    <a:xfrm rot="5400000">
                      <a:off x="0" y="0"/>
                      <a:ext cx="2118752" cy="1843038"/>
                    </a:xfrm>
                    <a:prstGeom prst="rect">
                      <a:avLst/>
                    </a:prstGeom>
                  </pic:spPr>
                </pic:pic>
              </a:graphicData>
            </a:graphic>
          </wp:inline>
        </w:drawing>
      </w:r>
    </w:p>
    <w:p w:rsidR="00A124AF" w:rsidRDefault="00A124AF" w:rsidP="00A124AF">
      <w:pPr>
        <w:spacing w:line="276" w:lineRule="auto"/>
        <w:ind w:leftChars="0" w:left="0" w:firstLineChars="0" w:firstLine="0"/>
        <w:contextualSpacing/>
        <w:jc w:val="both"/>
        <w:rPr>
          <w:rFonts w:eastAsia="Tahoma"/>
          <w:b/>
          <w:lang w:val="id-ID"/>
        </w:rPr>
      </w:pPr>
      <w:r w:rsidRPr="00A124AF">
        <w:rPr>
          <w:rFonts w:eastAsia="Tahoma"/>
          <w:b/>
          <w:lang w:val="id-ID"/>
        </w:rPr>
        <w:t xml:space="preserve">  </w:t>
      </w:r>
    </w:p>
    <w:p w:rsidR="00A124AF" w:rsidRPr="00A124AF" w:rsidRDefault="00A124AF" w:rsidP="00A124AF">
      <w:pPr>
        <w:spacing w:line="276" w:lineRule="auto"/>
        <w:ind w:leftChars="0" w:left="0" w:firstLineChars="0" w:firstLine="0"/>
        <w:contextualSpacing/>
        <w:jc w:val="both"/>
        <w:rPr>
          <w:rFonts w:eastAsia="Tahoma"/>
          <w:b/>
          <w:lang w:val="id-ID"/>
        </w:rPr>
      </w:pPr>
      <w:r w:rsidRPr="00A124AF">
        <w:rPr>
          <w:rFonts w:eastAsia="Tahoma"/>
          <w:b/>
        </w:rPr>
        <w:t>Figure</w:t>
      </w:r>
      <w:r w:rsidRPr="00A124AF">
        <w:rPr>
          <w:rFonts w:eastAsia="Tahoma"/>
          <w:b/>
          <w:lang w:val="id-ID"/>
        </w:rPr>
        <w:t xml:space="preserve"> 3. </w:t>
      </w:r>
      <w:r w:rsidRPr="00A124AF">
        <w:rPr>
          <w:rFonts w:eastAsia="Tahoma"/>
          <w:b/>
        </w:rPr>
        <w:t>MRI Findings [A] Sagittal View [B] Axial View showing spinal cord compression</w:t>
      </w:r>
      <w:r w:rsidRPr="00A124AF">
        <w:rPr>
          <w:rFonts w:eastAsia="Tahoma"/>
          <w:b/>
          <w:lang w:val="id-ID"/>
        </w:rPr>
        <w:t xml:space="preserve"> </w:t>
      </w:r>
    </w:p>
    <w:p w:rsidR="00A124AF" w:rsidRPr="00A124AF" w:rsidRDefault="00A124AF" w:rsidP="00A124AF">
      <w:pPr>
        <w:spacing w:line="276" w:lineRule="auto"/>
        <w:ind w:leftChars="0" w:left="0" w:firstLineChars="0" w:firstLine="0"/>
        <w:contextualSpacing/>
        <w:jc w:val="both"/>
        <w:rPr>
          <w:rFonts w:eastAsia="Tahoma"/>
          <w:b/>
          <w:lang w:val="id-ID"/>
        </w:rPr>
      </w:pPr>
    </w:p>
    <w:p w:rsidR="00A124AF" w:rsidRPr="00A124AF" w:rsidRDefault="00A124AF" w:rsidP="00A124AF">
      <w:pPr>
        <w:spacing w:line="276" w:lineRule="auto"/>
        <w:ind w:leftChars="0" w:left="0" w:firstLineChars="0" w:firstLine="0"/>
        <w:contextualSpacing/>
        <w:jc w:val="both"/>
        <w:rPr>
          <w:rFonts w:eastAsia="Tahoma"/>
          <w:b/>
          <w:bCs/>
          <w:lang w:val="id-ID"/>
        </w:rPr>
      </w:pPr>
      <w:r w:rsidRPr="00A124AF">
        <w:rPr>
          <w:rFonts w:eastAsia="Tahoma"/>
          <w:b/>
          <w:bCs/>
          <w:noProof/>
          <w:lang w:eastAsia="en-US"/>
        </w:rPr>
        <mc:AlternateContent>
          <mc:Choice Requires="wps">
            <w:drawing>
              <wp:anchor distT="0" distB="0" distL="0" distR="0" simplePos="0" relativeHeight="251659264" behindDoc="0" locked="0" layoutInCell="1" allowOverlap="1" wp14:anchorId="7874F777" wp14:editId="3A46948E">
                <wp:simplePos x="0" y="0"/>
                <wp:positionH relativeFrom="column">
                  <wp:posOffset>3576320</wp:posOffset>
                </wp:positionH>
                <wp:positionV relativeFrom="paragraph">
                  <wp:posOffset>60960</wp:posOffset>
                </wp:positionV>
                <wp:extent cx="248920" cy="290830"/>
                <wp:effectExtent l="0" t="0" r="17780" b="13970"/>
                <wp:wrapNone/>
                <wp:docPr id="1028" name="Text Box 2"/>
                <wp:cNvGraphicFramePr/>
                <a:graphic xmlns:a="http://schemas.openxmlformats.org/drawingml/2006/main">
                  <a:graphicData uri="http://schemas.microsoft.com/office/word/2010/wordprocessingShape">
                    <wps:wsp>
                      <wps:cNvSpPr/>
                      <wps:spPr>
                        <a:xfrm>
                          <a:off x="0" y="0"/>
                          <a:ext cx="248920" cy="290830"/>
                        </a:xfrm>
                        <a:prstGeom prst="rect">
                          <a:avLst/>
                        </a:prstGeom>
                        <a:solidFill>
                          <a:srgbClr val="FFFFFF"/>
                        </a:solidFill>
                        <a:ln w="6350" cap="flat" cmpd="sng">
                          <a:solidFill>
                            <a:srgbClr val="000000"/>
                          </a:solidFill>
                          <a:prstDash val="solid"/>
                          <a:round/>
                        </a:ln>
                      </wps:spPr>
                      <wps:txbx>
                        <w:txbxContent>
                          <w:p w:rsidR="00A124AF" w:rsidRDefault="00A124AF" w:rsidP="00A124AF">
                            <w:pPr>
                              <w:ind w:left="0" w:hanging="2"/>
                              <w:rPr>
                                <w:b/>
                                <w:bCs/>
                              </w:rPr>
                            </w:pPr>
                            <w:r>
                              <w:rPr>
                                <w:b/>
                                <w:bCs/>
                              </w:rPr>
                              <w:t>B</w:t>
                            </w:r>
                          </w:p>
                        </w:txbxContent>
                      </wps:txbx>
                      <wps:bodyPr vert="horz" wrap="square" lIns="91440" tIns="45720" rIns="91440" bIns="45720" anchor="t">
                        <a:noAutofit/>
                      </wps:bodyPr>
                    </wps:wsp>
                  </a:graphicData>
                </a:graphic>
              </wp:anchor>
            </w:drawing>
          </mc:Choice>
          <mc:Fallback>
            <w:pict>
              <v:rect w14:anchorId="7874F777" id="Text Box 2" o:spid="_x0000_s1026" style="position:absolute;left:0;text-align:left;margin-left:281.6pt;margin-top:4.8pt;width:19.6pt;height:22.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" strokeweight=".5pt">
                <v:stroke joinstyle="round"/>
                <v:textbox>
                  <w:txbxContent>
                    <w:p w:rsidR="00A124AF" w:rsidRDefault="00A124AF" w:rsidP="00A124AF">
                      <w:pPr>
                        <w:ind w:left="0" w:hanging="2"/>
                        <w:rPr>
                          <w:b/>
                          <w:bCs/>
                        </w:rPr>
                      </w:pPr>
                      <w:r>
                        <w:rPr>
                          <w:b/>
                          <w:bCs/>
                        </w:rPr>
                        <w:t>B</w:t>
                      </w:r>
                    </w:p>
                  </w:txbxContent>
                </v:textbox>
              </v:rect>
            </w:pict>
          </mc:Fallback>
        </mc:AlternateContent>
      </w:r>
      <w:r w:rsidRPr="00A124AF">
        <w:rPr>
          <w:rFonts w:eastAsia="Tahoma"/>
          <w:b/>
          <w:bCs/>
          <w:noProof/>
          <w:lang w:eastAsia="en-US"/>
        </w:rPr>
        <mc:AlternateContent>
          <mc:Choice Requires="wps">
            <w:drawing>
              <wp:anchor distT="0" distB="0" distL="0" distR="0" simplePos="0" relativeHeight="251660288" behindDoc="0" locked="0" layoutInCell="1" allowOverlap="1" wp14:anchorId="40BDDD09" wp14:editId="4ED566C1">
                <wp:simplePos x="0" y="0"/>
                <wp:positionH relativeFrom="column">
                  <wp:posOffset>160655</wp:posOffset>
                </wp:positionH>
                <wp:positionV relativeFrom="paragraph">
                  <wp:posOffset>7620</wp:posOffset>
                </wp:positionV>
                <wp:extent cx="249555" cy="290830"/>
                <wp:effectExtent l="0" t="0" r="17780" b="13970"/>
                <wp:wrapNone/>
                <wp:docPr id="1029" name="Text Box 1"/>
                <wp:cNvGraphicFramePr/>
                <a:graphic xmlns:a="http://schemas.openxmlformats.org/drawingml/2006/main">
                  <a:graphicData uri="http://schemas.microsoft.com/office/word/2010/wordprocessingShape">
                    <wps:wsp>
                      <wps:cNvSpPr/>
                      <wps:spPr>
                        <a:xfrm>
                          <a:off x="0" y="0"/>
                          <a:ext cx="249381" cy="290945"/>
                        </a:xfrm>
                        <a:prstGeom prst="rect">
                          <a:avLst/>
                        </a:prstGeom>
                        <a:solidFill>
                          <a:srgbClr val="FFFFFF"/>
                        </a:solidFill>
                        <a:ln w="6350" cap="flat" cmpd="sng">
                          <a:solidFill>
                            <a:srgbClr val="000000"/>
                          </a:solidFill>
                          <a:prstDash val="solid"/>
                          <a:round/>
                        </a:ln>
                      </wps:spPr>
                      <wps:txbx>
                        <w:txbxContent>
                          <w:p w:rsidR="00A124AF" w:rsidRDefault="00A124AF" w:rsidP="00A124AF">
                            <w:pPr>
                              <w:ind w:left="0" w:hanging="2"/>
                              <w:rPr>
                                <w:b/>
                                <w:bCs/>
                              </w:rPr>
                            </w:pPr>
                            <w:r>
                              <w:rPr>
                                <w:b/>
                                <w:bCs/>
                              </w:rPr>
                              <w:t>A</w:t>
                            </w:r>
                          </w:p>
                        </w:txbxContent>
                      </wps:txbx>
                      <wps:bodyPr vert="horz" wrap="square" lIns="91440" tIns="45720" rIns="91440" bIns="45720" anchor="t">
                        <a:noAutofit/>
                      </wps:bodyPr>
                    </wps:wsp>
                  </a:graphicData>
                </a:graphic>
              </wp:anchor>
            </w:drawing>
          </mc:Choice>
          <mc:Fallback>
            <w:pict>
              <v:rect w14:anchorId="40BDDD09" id="Text Box 1" o:spid="_x0000_s1027" style="position:absolute;left:0;text-align:left;margin-left:12.65pt;margin-top:.6pt;width:19.65pt;height:22.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" strokeweight=".5pt">
                <v:stroke joinstyle="round"/>
                <v:textbox>
                  <w:txbxContent>
                    <w:p w:rsidR="00A124AF" w:rsidRDefault="00A124AF" w:rsidP="00A124AF">
                      <w:pPr>
                        <w:ind w:left="0" w:hanging="2"/>
                        <w:rPr>
                          <w:b/>
                          <w:bCs/>
                        </w:rPr>
                      </w:pPr>
                      <w:r>
                        <w:rPr>
                          <w:b/>
                          <w:bCs/>
                        </w:rPr>
                        <w:t>A</w:t>
                      </w:r>
                    </w:p>
                  </w:txbxContent>
                </v:textbox>
              </v:rect>
            </w:pict>
          </mc:Fallback>
        </mc:AlternateContent>
      </w:r>
      <w:r w:rsidRPr="00A124AF">
        <w:rPr>
          <w:rFonts w:eastAsia="Tahoma"/>
          <w:b/>
          <w:bCs/>
          <w:noProof/>
          <w:lang w:eastAsia="en-US"/>
        </w:rPr>
        <w:drawing>
          <wp:inline distT="0" distB="0" distL="0" distR="0" wp14:anchorId="6BD3D4B3" wp14:editId="3893C805">
            <wp:extent cx="1935480" cy="2002790"/>
            <wp:effectExtent l="4445" t="0" r="0" b="0"/>
            <wp:docPr id="1030" name="Picture 23"/>
            <wp:cNvGraphicFramePr/>
            <a:graphic xmlns:a="http://schemas.openxmlformats.org/drawingml/2006/main">
              <a:graphicData uri="http://schemas.openxmlformats.org/drawingml/2006/picture">
                <pic:pic xmlns:pic="http://schemas.openxmlformats.org/drawingml/2006/picture">
                  <pic:nvPicPr>
                    <pic:cNvPr id="1030" name="Picture 23"/>
                    <pic:cNvPicPr/>
                  </pic:nvPicPr>
                  <pic:blipFill>
                    <a:blip r:embed="rId18" cstate="print"/>
                    <a:srcRect l="57890" t="53589" r="27362" b="27844"/>
                    <a:stretch>
                      <a:fillRect/>
                    </a:stretch>
                  </pic:blipFill>
                  <pic:spPr>
                    <a:xfrm rot="5400000">
                      <a:off x="0" y="0"/>
                      <a:ext cx="1935869" cy="2003093"/>
                    </a:xfrm>
                    <a:prstGeom prst="rect">
                      <a:avLst/>
                    </a:prstGeom>
                  </pic:spPr>
                </pic:pic>
              </a:graphicData>
            </a:graphic>
          </wp:inline>
        </w:drawing>
      </w:r>
      <w:r w:rsidRPr="00A124AF">
        <w:rPr>
          <w:rFonts w:eastAsia="Tahoma"/>
          <w:b/>
          <w:bCs/>
          <w:noProof/>
          <w:lang w:eastAsia="en-US"/>
        </w:rPr>
        <w:drawing>
          <wp:inline distT="0" distB="0" distL="0" distR="0" wp14:anchorId="186D3E5C" wp14:editId="31FE2165">
            <wp:extent cx="1898650" cy="3154045"/>
            <wp:effectExtent l="0" t="5398" r="953" b="951"/>
            <wp:docPr id="1031" name="Picture 22"/>
            <wp:cNvGraphicFramePr/>
            <a:graphic xmlns:a="http://schemas.openxmlformats.org/drawingml/2006/main">
              <a:graphicData uri="http://schemas.openxmlformats.org/drawingml/2006/picture">
                <pic:pic xmlns:pic="http://schemas.openxmlformats.org/drawingml/2006/picture">
                  <pic:nvPicPr>
                    <pic:cNvPr id="1031" name="Picture 22"/>
                    <pic:cNvPicPr/>
                  </pic:nvPicPr>
                  <pic:blipFill>
                    <a:blip r:embed="rId19" cstate="print"/>
                    <a:srcRect l="27811" t="3039" r="54946" b="58765"/>
                    <a:stretch>
                      <a:fillRect/>
                    </a:stretch>
                  </pic:blipFill>
                  <pic:spPr>
                    <a:xfrm rot="5400000">
                      <a:off x="0" y="0"/>
                      <a:ext cx="1898717" cy="3154570"/>
                    </a:xfrm>
                    <a:prstGeom prst="rect">
                      <a:avLst/>
                    </a:prstGeom>
                  </pic:spPr>
                </pic:pic>
              </a:graphicData>
            </a:graphic>
          </wp:inline>
        </w:drawing>
      </w:r>
    </w:p>
    <w:p w:rsidR="00A124AF" w:rsidRPr="00A124AF" w:rsidRDefault="00A124AF" w:rsidP="00A124AF">
      <w:pPr>
        <w:spacing w:line="276" w:lineRule="auto"/>
        <w:ind w:leftChars="0" w:left="0" w:firstLineChars="0" w:firstLine="0"/>
        <w:contextualSpacing/>
        <w:jc w:val="both"/>
        <w:rPr>
          <w:rFonts w:eastAsia="Tahoma"/>
          <w:b/>
          <w:lang w:val="id-ID"/>
        </w:rPr>
      </w:pPr>
    </w:p>
    <w:p w:rsidR="00A124AF" w:rsidRPr="00A124AF" w:rsidRDefault="00A124AF" w:rsidP="00A124AF">
      <w:pPr>
        <w:spacing w:line="276" w:lineRule="auto"/>
        <w:ind w:leftChars="0" w:left="0" w:firstLineChars="0" w:firstLine="709"/>
        <w:contextualSpacing/>
        <w:jc w:val="both"/>
        <w:rPr>
          <w:rFonts w:eastAsia="Tahoma"/>
          <w:lang w:val="id-ID"/>
        </w:rPr>
      </w:pPr>
      <w:r w:rsidRPr="00A124AF">
        <w:rPr>
          <w:rFonts w:eastAsia="Tahoma"/>
          <w:lang w:val="id-ID"/>
        </w:rPr>
        <w:t xml:space="preserve">This patient was managed through a decompression procedure and cervical spine fusion at the level of C1-4 with posterior stabilization using a pedicle screw. A </w:t>
      </w:r>
      <w:r w:rsidRPr="00A124AF">
        <w:rPr>
          <w:rFonts w:eastAsia="Tahoma"/>
          <w:lang w:val="id-ID"/>
        </w:rPr>
        <w:lastRenderedPageBreak/>
        <w:t xml:space="preserve">day after the operation, the patient successfully moved both legs and arms with motoric strength of 2/2/2/2. Moreover, the patient also did physiotherapy. Two weeks after the procedure, the patient improved motoric function, evaluated by the increased motoric power from all 2s to 4/4/4/4. Three weeks later, the patient started to write again. During the three-month follow-up period, the patient could do daily activities independently. A longer follow-up period is needed </w:t>
      </w:r>
      <w:r w:rsidRPr="00A124AF">
        <w:rPr>
          <w:rFonts w:eastAsia="Tahoma"/>
        </w:rPr>
        <w:t>for</w:t>
      </w:r>
      <w:r w:rsidRPr="00A124AF">
        <w:rPr>
          <w:rFonts w:eastAsia="Tahoma"/>
          <w:lang w:val="id-ID"/>
        </w:rPr>
        <w:t xml:space="preserve"> further evaluation.</w:t>
      </w:r>
    </w:p>
    <w:p w:rsidR="00A124AF" w:rsidRDefault="00A124AF" w:rsidP="00A124AF">
      <w:pPr>
        <w:spacing w:line="276" w:lineRule="auto"/>
        <w:ind w:leftChars="0" w:left="0" w:firstLineChars="0" w:firstLine="0"/>
        <w:contextualSpacing/>
        <w:jc w:val="both"/>
        <w:rPr>
          <w:rFonts w:eastAsia="Tahoma"/>
          <w:b/>
          <w:lang w:val="id-ID"/>
        </w:rPr>
      </w:pPr>
    </w:p>
    <w:p w:rsidR="00A124AF" w:rsidRPr="00A124AF" w:rsidRDefault="00A124AF" w:rsidP="00A124AF">
      <w:pPr>
        <w:spacing w:line="276" w:lineRule="auto"/>
        <w:ind w:leftChars="0" w:left="0" w:firstLineChars="0" w:firstLine="0"/>
        <w:contextualSpacing/>
        <w:jc w:val="center"/>
        <w:rPr>
          <w:rFonts w:eastAsia="Tahoma"/>
          <w:b/>
        </w:rPr>
      </w:pPr>
      <w:r w:rsidRPr="00A124AF">
        <w:rPr>
          <w:rFonts w:eastAsia="Tahoma"/>
          <w:b/>
        </w:rPr>
        <w:t>Figure</w:t>
      </w:r>
      <w:r w:rsidRPr="00A124AF">
        <w:rPr>
          <w:rFonts w:eastAsia="Tahoma"/>
          <w:b/>
          <w:lang w:val="id-ID"/>
        </w:rPr>
        <w:t xml:space="preserve"> 4. </w:t>
      </w:r>
      <w:r w:rsidRPr="00A124AF">
        <w:rPr>
          <w:rFonts w:eastAsia="Tahoma"/>
          <w:b/>
        </w:rPr>
        <w:t>Radiology Findings [A] Anteroposterior and [B] Lateral after Decompression Procedure and Posterior Stabilization using Pedicle Screw</w:t>
      </w:r>
    </w:p>
    <w:p w:rsidR="00A124AF" w:rsidRPr="00A124AF" w:rsidRDefault="00A124AF" w:rsidP="00A124AF">
      <w:pPr>
        <w:spacing w:line="276" w:lineRule="auto"/>
        <w:ind w:leftChars="0" w:left="1134" w:firstLineChars="0" w:firstLine="0"/>
        <w:contextualSpacing/>
        <w:jc w:val="both"/>
        <w:rPr>
          <w:rFonts w:eastAsia="Tahoma"/>
          <w:b/>
          <w:lang w:val="id-ID"/>
        </w:rPr>
      </w:pPr>
      <w:r w:rsidRPr="00A124AF">
        <w:rPr>
          <w:rFonts w:eastAsia="Tahoma"/>
          <w:b/>
          <w:bCs/>
          <w:noProof/>
          <w:lang w:eastAsia="en-US"/>
        </w:rPr>
        <mc:AlternateContent>
          <mc:Choice Requires="wps">
            <w:drawing>
              <wp:anchor distT="0" distB="0" distL="0" distR="0" simplePos="0" relativeHeight="251661312" behindDoc="0" locked="0" layoutInCell="1" allowOverlap="1" wp14:anchorId="7D53EE96" wp14:editId="17F4FAF6">
                <wp:simplePos x="0" y="0"/>
                <wp:positionH relativeFrom="column">
                  <wp:posOffset>1083310</wp:posOffset>
                </wp:positionH>
                <wp:positionV relativeFrom="paragraph">
                  <wp:posOffset>21590</wp:posOffset>
                </wp:positionV>
                <wp:extent cx="249555" cy="290830"/>
                <wp:effectExtent l="0" t="0" r="17780" b="13970"/>
                <wp:wrapNone/>
                <wp:docPr id="1032" name="Text Box 7"/>
                <wp:cNvGraphicFramePr/>
                <a:graphic xmlns:a="http://schemas.openxmlformats.org/drawingml/2006/main">
                  <a:graphicData uri="http://schemas.microsoft.com/office/word/2010/wordprocessingShape">
                    <wps:wsp>
                      <wps:cNvSpPr/>
                      <wps:spPr>
                        <a:xfrm>
                          <a:off x="0" y="0"/>
                          <a:ext cx="249381" cy="290945"/>
                        </a:xfrm>
                        <a:prstGeom prst="rect">
                          <a:avLst/>
                        </a:prstGeom>
                        <a:solidFill>
                          <a:srgbClr val="FFFFFF"/>
                        </a:solidFill>
                        <a:ln w="6350" cap="flat" cmpd="sng">
                          <a:solidFill>
                            <a:srgbClr val="000000"/>
                          </a:solidFill>
                          <a:prstDash val="solid"/>
                          <a:round/>
                        </a:ln>
                      </wps:spPr>
                      <wps:txbx>
                        <w:txbxContent>
                          <w:p w:rsidR="00A124AF" w:rsidRDefault="00A124AF" w:rsidP="00A124AF">
                            <w:pPr>
                              <w:ind w:left="0" w:hanging="2"/>
                              <w:rPr>
                                <w:b/>
                                <w:bCs/>
                              </w:rPr>
                            </w:pPr>
                            <w:r>
                              <w:rPr>
                                <w:b/>
                                <w:bCs/>
                              </w:rPr>
                              <w:t>A</w:t>
                            </w:r>
                          </w:p>
                        </w:txbxContent>
                      </wps:txbx>
                      <wps:bodyPr vert="horz" wrap="square" lIns="91440" tIns="45720" rIns="91440" bIns="45720" anchor="t">
                        <a:noAutofit/>
                      </wps:bodyPr>
                    </wps:wsp>
                  </a:graphicData>
                </a:graphic>
              </wp:anchor>
            </w:drawing>
          </mc:Choice>
          <mc:Fallback>
            <w:pict>
              <v:rect w14:anchorId="7D53EE96" id="Text Box 7" o:spid="_x0000_s1028" style="position:absolute;left:0;text-align:left;margin-left:85.3pt;margin-top:1.7pt;width:19.65pt;height:22.9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" strokeweight=".5pt">
                <v:stroke joinstyle="round"/>
                <v:textbox>
                  <w:txbxContent>
                    <w:p w:rsidR="00A124AF" w:rsidRDefault="00A124AF" w:rsidP="00A124AF">
                      <w:pPr>
                        <w:ind w:left="0" w:hanging="2"/>
                        <w:rPr>
                          <w:b/>
                          <w:bCs/>
                        </w:rPr>
                      </w:pPr>
                      <w:r>
                        <w:rPr>
                          <w:b/>
                          <w:bCs/>
                        </w:rPr>
                        <w:t>A</w:t>
                      </w:r>
                    </w:p>
                  </w:txbxContent>
                </v:textbox>
              </v:rect>
            </w:pict>
          </mc:Fallback>
        </mc:AlternateContent>
      </w:r>
      <w:r w:rsidRPr="00A124AF">
        <w:rPr>
          <w:rFonts w:eastAsia="Tahoma"/>
          <w:b/>
          <w:bCs/>
          <w:noProof/>
          <w:lang w:eastAsia="en-US"/>
        </w:rPr>
        <mc:AlternateContent>
          <mc:Choice Requires="wps">
            <w:drawing>
              <wp:anchor distT="0" distB="0" distL="0" distR="0" simplePos="0" relativeHeight="251662336" behindDoc="0" locked="0" layoutInCell="1" allowOverlap="1" wp14:anchorId="2C4C7C9F" wp14:editId="0D559DA8">
                <wp:simplePos x="0" y="0"/>
                <wp:positionH relativeFrom="column">
                  <wp:posOffset>2922905</wp:posOffset>
                </wp:positionH>
                <wp:positionV relativeFrom="paragraph">
                  <wp:posOffset>21590</wp:posOffset>
                </wp:positionV>
                <wp:extent cx="249555" cy="290830"/>
                <wp:effectExtent l="0" t="0" r="17780" b="13970"/>
                <wp:wrapNone/>
                <wp:docPr id="1033" name="Text Box 6"/>
                <wp:cNvGraphicFramePr/>
                <a:graphic xmlns:a="http://schemas.openxmlformats.org/drawingml/2006/main">
                  <a:graphicData uri="http://schemas.microsoft.com/office/word/2010/wordprocessingShape">
                    <wps:wsp>
                      <wps:cNvSpPr/>
                      <wps:spPr>
                        <a:xfrm>
                          <a:off x="0" y="0"/>
                          <a:ext cx="249382" cy="290945"/>
                        </a:xfrm>
                        <a:prstGeom prst="rect">
                          <a:avLst/>
                        </a:prstGeom>
                        <a:solidFill>
                          <a:srgbClr val="FFFFFF"/>
                        </a:solidFill>
                        <a:ln w="6350" cap="flat" cmpd="sng">
                          <a:solidFill>
                            <a:srgbClr val="000000"/>
                          </a:solidFill>
                          <a:prstDash val="solid"/>
                          <a:round/>
                        </a:ln>
                      </wps:spPr>
                      <wps:txbx>
                        <w:txbxContent>
                          <w:p w:rsidR="00A124AF" w:rsidRDefault="00A124AF" w:rsidP="00A124AF">
                            <w:pPr>
                              <w:ind w:left="0" w:hanging="2"/>
                              <w:rPr>
                                <w:b/>
                                <w:bCs/>
                              </w:rPr>
                            </w:pPr>
                            <w:r>
                              <w:rPr>
                                <w:b/>
                                <w:bCs/>
                              </w:rPr>
                              <w:t>B</w:t>
                            </w:r>
                          </w:p>
                        </w:txbxContent>
                      </wps:txbx>
                      <wps:bodyPr vert="horz" wrap="square" lIns="91440" tIns="45720" rIns="91440" bIns="45720" anchor="t">
                        <a:noAutofit/>
                      </wps:bodyPr>
                    </wps:wsp>
                  </a:graphicData>
                </a:graphic>
              </wp:anchor>
            </w:drawing>
          </mc:Choice>
          <mc:Fallback>
            <w:pict>
              <v:rect w14:anchorId="2C4C7C9F" id="Text Box 6" o:spid="_x0000_s1029" style="position:absolute;left:0;text-align:left;margin-left:230.15pt;margin-top:1.7pt;width:19.65pt;height:22.9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" strokeweight=".5pt">
                <v:stroke joinstyle="round"/>
                <v:textbox>
                  <w:txbxContent>
                    <w:p w:rsidR="00A124AF" w:rsidRDefault="00A124AF" w:rsidP="00A124AF">
                      <w:pPr>
                        <w:ind w:left="0" w:hanging="2"/>
                        <w:rPr>
                          <w:b/>
                          <w:bCs/>
                        </w:rPr>
                      </w:pPr>
                      <w:r>
                        <w:rPr>
                          <w:b/>
                          <w:bCs/>
                        </w:rPr>
                        <w:t>B</w:t>
                      </w:r>
                    </w:p>
                  </w:txbxContent>
                </v:textbox>
              </v:rect>
            </w:pict>
          </mc:Fallback>
        </mc:AlternateContent>
      </w:r>
      <w:r w:rsidRPr="00A124AF">
        <w:rPr>
          <w:rFonts w:eastAsia="Tahoma"/>
          <w:b/>
          <w:bCs/>
          <w:noProof/>
          <w:lang w:eastAsia="en-US"/>
        </w:rPr>
        <w:drawing>
          <wp:inline distT="0" distB="0" distL="0" distR="0" wp14:anchorId="288DEADC" wp14:editId="6777AF92">
            <wp:extent cx="1602740" cy="1936115"/>
            <wp:effectExtent l="0" t="0" r="0" b="0"/>
            <wp:docPr id="1034" name="Picture 24"/>
            <wp:cNvGraphicFramePr/>
            <a:graphic xmlns:a="http://schemas.openxmlformats.org/drawingml/2006/main">
              <a:graphicData uri="http://schemas.openxmlformats.org/drawingml/2006/picture">
                <pic:pic xmlns:pic="http://schemas.openxmlformats.org/drawingml/2006/picture">
                  <pic:nvPicPr>
                    <pic:cNvPr id="1034" name="Picture 24"/>
                    <pic:cNvPicPr/>
                  </pic:nvPicPr>
                  <pic:blipFill>
                    <a:blip r:embed="rId20" cstate="print"/>
                    <a:srcRect l="6046" t="12213" r="49706" b="24186"/>
                    <a:stretch>
                      <a:fillRect/>
                    </a:stretch>
                  </pic:blipFill>
                  <pic:spPr>
                    <a:xfrm>
                      <a:off x="0" y="0"/>
                      <a:ext cx="1603023" cy="1936424"/>
                    </a:xfrm>
                    <a:prstGeom prst="rect">
                      <a:avLst/>
                    </a:prstGeom>
                  </pic:spPr>
                </pic:pic>
              </a:graphicData>
            </a:graphic>
          </wp:inline>
        </w:drawing>
      </w:r>
      <w:r w:rsidRPr="00A124AF">
        <w:rPr>
          <w:rFonts w:eastAsia="Tahoma"/>
          <w:b/>
          <w:lang w:val="id-ID"/>
        </w:rPr>
        <w:t xml:space="preserve">       </w:t>
      </w:r>
      <w:r w:rsidRPr="00A124AF">
        <w:rPr>
          <w:rFonts w:eastAsia="Tahoma"/>
          <w:b/>
          <w:noProof/>
          <w:lang w:eastAsia="en-US"/>
        </w:rPr>
        <w:drawing>
          <wp:inline distT="0" distB="0" distL="0" distR="0" wp14:anchorId="75974FF9" wp14:editId="48E3FECA">
            <wp:extent cx="1399540" cy="1951990"/>
            <wp:effectExtent l="0" t="0" r="0" b="3810"/>
            <wp:docPr id="1035" name="Picture 28"/>
            <wp:cNvGraphicFramePr/>
            <a:graphic xmlns:a="http://schemas.openxmlformats.org/drawingml/2006/main">
              <a:graphicData uri="http://schemas.openxmlformats.org/drawingml/2006/picture">
                <pic:pic xmlns:pic="http://schemas.openxmlformats.org/drawingml/2006/picture">
                  <pic:nvPicPr>
                    <pic:cNvPr id="1035" name="Picture 28"/>
                    <pic:cNvPicPr/>
                  </pic:nvPicPr>
                  <pic:blipFill>
                    <a:blip r:embed="rId20" cstate="print"/>
                    <a:srcRect l="58639" t="14668" r="8641" b="24484"/>
                    <a:stretch>
                      <a:fillRect/>
                    </a:stretch>
                  </pic:blipFill>
                  <pic:spPr>
                    <a:xfrm>
                      <a:off x="0" y="0"/>
                      <a:ext cx="1399822" cy="1952390"/>
                    </a:xfrm>
                    <a:prstGeom prst="rect">
                      <a:avLst/>
                    </a:prstGeom>
                  </pic:spPr>
                </pic:pic>
              </a:graphicData>
            </a:graphic>
          </wp:inline>
        </w:drawing>
      </w:r>
    </w:p>
    <w:p w:rsidR="00A124AF" w:rsidRDefault="00A124AF" w:rsidP="00A124AF">
      <w:pPr>
        <w:spacing w:line="276" w:lineRule="auto"/>
        <w:ind w:leftChars="0" w:left="0" w:firstLineChars="0" w:firstLine="0"/>
        <w:contextualSpacing/>
        <w:jc w:val="center"/>
        <w:rPr>
          <w:rFonts w:eastAsia="Tahoma"/>
          <w:b/>
        </w:rPr>
      </w:pPr>
    </w:p>
    <w:p w:rsidR="00A124AF" w:rsidRPr="00A124AF" w:rsidRDefault="00A124AF" w:rsidP="00A124AF">
      <w:pPr>
        <w:spacing w:line="276" w:lineRule="auto"/>
        <w:ind w:leftChars="0" w:left="0" w:firstLineChars="0" w:firstLine="0"/>
        <w:contextualSpacing/>
        <w:jc w:val="center"/>
        <w:rPr>
          <w:rFonts w:eastAsia="Tahoma"/>
          <w:b/>
          <w:lang w:val="id-ID"/>
        </w:rPr>
      </w:pPr>
      <w:r w:rsidRPr="00A124AF">
        <w:rPr>
          <w:rFonts w:eastAsia="Tahoma"/>
          <w:b/>
        </w:rPr>
        <w:t>Figure</w:t>
      </w:r>
      <w:r w:rsidRPr="00A124AF">
        <w:rPr>
          <w:rFonts w:eastAsia="Tahoma"/>
          <w:b/>
          <w:lang w:val="id-ID"/>
        </w:rPr>
        <w:t xml:space="preserve"> 5. </w:t>
      </w:r>
      <w:r w:rsidRPr="00A124AF">
        <w:rPr>
          <w:rFonts w:eastAsia="Tahoma"/>
          <w:b/>
        </w:rPr>
        <w:t>Functional Outcome during 3 Months Follow-Up</w:t>
      </w:r>
    </w:p>
    <w:p w:rsidR="00A124AF" w:rsidRPr="00A124AF" w:rsidRDefault="00A124AF" w:rsidP="00A124AF">
      <w:pPr>
        <w:spacing w:line="276" w:lineRule="auto"/>
        <w:ind w:leftChars="0" w:left="1560" w:firstLineChars="0" w:firstLine="0"/>
        <w:contextualSpacing/>
        <w:jc w:val="both"/>
        <w:rPr>
          <w:rFonts w:eastAsia="Tahoma"/>
          <w:b/>
          <w:lang w:val="id-ID"/>
        </w:rPr>
      </w:pPr>
      <w:r w:rsidRPr="00A124AF">
        <w:rPr>
          <w:rFonts w:eastAsia="Tahoma"/>
          <w:b/>
          <w:noProof/>
          <w:lang w:eastAsia="en-US"/>
        </w:rPr>
        <w:drawing>
          <wp:inline distT="0" distB="0" distL="0" distR="0" wp14:anchorId="6DB2649F" wp14:editId="6FCB0E69">
            <wp:extent cx="1605915" cy="2096135"/>
            <wp:effectExtent l="0" t="0" r="0" b="0"/>
            <wp:docPr id="1036" name="Picture 3"/>
            <wp:cNvGraphicFramePr/>
            <a:graphic xmlns:a="http://schemas.openxmlformats.org/drawingml/2006/main">
              <a:graphicData uri="http://schemas.openxmlformats.org/drawingml/2006/picture">
                <pic:pic xmlns:pic="http://schemas.openxmlformats.org/drawingml/2006/picture">
                  <pic:nvPicPr>
                    <pic:cNvPr id="1036" name="Picture 3"/>
                    <pic:cNvPicPr/>
                  </pic:nvPicPr>
                  <pic:blipFill>
                    <a:blip r:embed="rId21" cstate="print"/>
                    <a:srcRect l="7659" t="31503" b="11945"/>
                    <a:stretch>
                      <a:fillRect/>
                    </a:stretch>
                  </pic:blipFill>
                  <pic:spPr>
                    <a:xfrm>
                      <a:off x="0" y="0"/>
                      <a:ext cx="1606283" cy="2096429"/>
                    </a:xfrm>
                    <a:prstGeom prst="rect">
                      <a:avLst/>
                    </a:prstGeom>
                  </pic:spPr>
                </pic:pic>
              </a:graphicData>
            </a:graphic>
          </wp:inline>
        </w:drawing>
      </w:r>
      <w:r w:rsidRPr="00A124AF">
        <w:rPr>
          <w:rFonts w:eastAsia="Tahoma"/>
          <w:b/>
          <w:lang w:val="id-ID"/>
        </w:rPr>
        <w:t xml:space="preserve">         </w:t>
      </w:r>
      <w:r w:rsidRPr="00A124AF">
        <w:rPr>
          <w:rFonts w:eastAsia="Tahoma"/>
          <w:b/>
          <w:noProof/>
          <w:lang w:eastAsia="en-US"/>
        </w:rPr>
        <w:drawing>
          <wp:inline distT="0" distB="0" distL="0" distR="0" wp14:anchorId="5BF4CCA7" wp14:editId="595BFBE8">
            <wp:extent cx="1393825" cy="2132965"/>
            <wp:effectExtent l="0" t="0" r="3175" b="635"/>
            <wp:docPr id="1037" name="Picture 1"/>
            <wp:cNvGraphicFramePr/>
            <a:graphic xmlns:a="http://schemas.openxmlformats.org/drawingml/2006/main">
              <a:graphicData uri="http://schemas.openxmlformats.org/drawingml/2006/picture">
                <pic:pic xmlns:pic="http://schemas.openxmlformats.org/drawingml/2006/picture">
                  <pic:nvPicPr>
                    <pic:cNvPr id="1037" name="Picture 1"/>
                    <pic:cNvPicPr/>
                  </pic:nvPicPr>
                  <pic:blipFill>
                    <a:blip r:embed="rId22" cstate="print"/>
                    <a:srcRect l="6263" t="17375" r="11048" b="11440"/>
                    <a:stretch>
                      <a:fillRect/>
                    </a:stretch>
                  </pic:blipFill>
                  <pic:spPr>
                    <a:xfrm>
                      <a:off x="0" y="0"/>
                      <a:ext cx="1393902" cy="2133271"/>
                    </a:xfrm>
                    <a:prstGeom prst="rect">
                      <a:avLst/>
                    </a:prstGeom>
                  </pic:spPr>
                </pic:pic>
              </a:graphicData>
            </a:graphic>
          </wp:inline>
        </w:drawing>
      </w:r>
    </w:p>
    <w:p w:rsidR="00793034" w:rsidRDefault="00793034" w:rsidP="00372C13">
      <w:pPr>
        <w:spacing w:line="276" w:lineRule="auto"/>
        <w:ind w:leftChars="0" w:left="0" w:firstLineChars="0" w:firstLine="0"/>
        <w:contextualSpacing/>
        <w:jc w:val="both"/>
        <w:rPr>
          <w:b/>
          <w:iCs/>
        </w:rPr>
      </w:pPr>
    </w:p>
    <w:p w:rsidR="00372C13" w:rsidRPr="00372C13" w:rsidRDefault="00F22B37" w:rsidP="00372C13">
      <w:pPr>
        <w:spacing w:line="276" w:lineRule="auto"/>
        <w:ind w:leftChars="0" w:left="0" w:firstLineChars="0" w:firstLine="0"/>
        <w:contextualSpacing/>
        <w:jc w:val="both"/>
        <w:rPr>
          <w:b/>
          <w:iCs/>
        </w:rPr>
      </w:pPr>
      <w:r w:rsidRPr="00372C13">
        <w:rPr>
          <w:b/>
          <w:iCs/>
        </w:rPr>
        <w:t>Discussion</w:t>
      </w:r>
    </w:p>
    <w:p w:rsidR="00A124AF" w:rsidRPr="00A124AF" w:rsidRDefault="00A124AF" w:rsidP="00A124AF">
      <w:pPr>
        <w:spacing w:line="276" w:lineRule="auto"/>
        <w:ind w:leftChars="0" w:firstLineChars="0" w:firstLine="709"/>
        <w:contextualSpacing/>
        <w:jc w:val="both"/>
        <w:rPr>
          <w:iCs/>
        </w:rPr>
      </w:pPr>
      <w:r w:rsidRPr="00A124AF">
        <w:rPr>
          <w:iCs/>
        </w:rPr>
        <w:t xml:space="preserve">Cervical spine injury usually happens on the upper segment, connection junction between C1-C2 or C5-C6. This study reported a traumatic event on a 17-year-old patient with a dislocation fracture at the level of C2-C3. The patient's age group is not considered typical and is no longer included in groups vulnerable to this injury type. Generally, the pediatric population is more prone to this injury due to high ligament laxity. There are only a few similar case studies, as the condition usually leads to sudden death. One case found in children was linked to dislocation during birth. Another case in a 57-year-old patient was connected to a laminectomy procedure </w:t>
      </w:r>
      <w:r w:rsidRPr="00A124AF">
        <w:rPr>
          <w:iCs/>
        </w:rPr>
        <w:lastRenderedPageBreak/>
        <w:t>he underwent, causing mild neurologic symptoms. It's hard to compare this case study to previous issues because of the different age groups an</w:t>
      </w:r>
      <w:r w:rsidR="008D0AAC">
        <w:rPr>
          <w:iCs/>
        </w:rPr>
        <w:t xml:space="preserve">d absence of vascular injury </w:t>
      </w:r>
      <w:r w:rsidR="008D0AAC">
        <w:rPr>
          <w:iCs/>
        </w:rPr>
        <w:fldChar w:fldCharType="begin" w:fldLock="1"/>
      </w:r>
      <w:r w:rsidR="008D0AAC">
        <w:rPr>
          <w:iCs/>
        </w:rPr>
        <w:instrText>ADDIN CSL_CITATION {"citationItems":[{"id":"ITEM-1","itemData":{"author":[{"dropping-particle":"","family":"Kalafat","given":"U","non-dropping-particle":"","parse-names":false,"suffix":""},{"dropping-particle":"","family":"Akman","given":"Canan","non-dropping-particle":"","parse-names":false,"suffix":""},{"dropping-particle":"","family":"Topacoglu","given":"Hakan","non-dropping-particle":"","parse-names":false,"suffix":""}],"container-title":"Int J Med Sci Public Health","id":"ITEM-1","issued":{"date-parts":[["2016"]]},"page":"590-592","title":"Complete dislocation at the level of C2-C3 vertebra with vertebral artery rupture in a multitrauma patient","type":"article-journal","volume":"5"},"uris":["http://www.mendeley.com/documents/?uuid=f6db23f6-ba4b-494f-846b-b86177272f8b"]}],"mendeley":{"formattedCitation":"(Kalafat et al., 2016)","plainTextFormattedCitation":"(Kalafat et al., 2016)","previouslyFormattedCitation":"(Kalafat et al., 2016)"},"properties":{"noteIndex":0},"schema":"https://github.com/citation-style-language/schema/raw/master/csl-citation.json"}</w:instrText>
      </w:r>
      <w:r w:rsidR="008D0AAC">
        <w:rPr>
          <w:iCs/>
        </w:rPr>
        <w:fldChar w:fldCharType="separate"/>
      </w:r>
      <w:r w:rsidR="008D0AAC" w:rsidRPr="008D0AAC">
        <w:rPr>
          <w:iCs/>
          <w:noProof/>
        </w:rPr>
        <w:t>(Kalafat et al., 2016)</w:t>
      </w:r>
      <w:r w:rsidR="008D0AAC">
        <w:rPr>
          <w:iCs/>
        </w:rPr>
        <w:fldChar w:fldCharType="end"/>
      </w:r>
      <w:r w:rsidR="008D0AAC">
        <w:rPr>
          <w:iCs/>
        </w:rPr>
        <w:t>.</w:t>
      </w:r>
    </w:p>
    <w:p w:rsidR="00A124AF" w:rsidRPr="00A124AF" w:rsidRDefault="00A124AF" w:rsidP="00A124AF">
      <w:pPr>
        <w:spacing w:line="276" w:lineRule="auto"/>
        <w:ind w:leftChars="0" w:firstLineChars="0" w:firstLine="709"/>
        <w:contextualSpacing/>
        <w:jc w:val="both"/>
        <w:rPr>
          <w:iCs/>
        </w:rPr>
      </w:pPr>
      <w:r w:rsidRPr="00A124AF">
        <w:rPr>
          <w:iCs/>
        </w:rPr>
        <w:t>The patient came in with motoric dysfunction in all extremities with an American Spine Injury Association (ASIA) score of B, indicating no sensory dysfunction under the lesion level</w:t>
      </w:r>
      <w:r w:rsidR="008D0AAC">
        <w:rPr>
          <w:iCs/>
        </w:rPr>
        <w:t xml:space="preserve"> </w:t>
      </w:r>
      <w:r w:rsidR="008D0AAC">
        <w:rPr>
          <w:iCs/>
        </w:rPr>
        <w:fldChar w:fldCharType="begin" w:fldLock="1"/>
      </w:r>
      <w:r w:rsidR="008D0AAC">
        <w:rPr>
          <w:iCs/>
        </w:rPr>
        <w:instrText>ADDIN CSL_CITATION {"citationItems":[{"id":"ITEM-1","itemData":{"ISSN":"1547-3287","author":[{"dropping-particle":"","family":"Otsuka","given":"Takashi","non-dropping-particle":"","parse-names":false,"suffix":""},{"dropping-particle":"","family":"Maeda","given":"Yuyo","non-dropping-particle":"","parse-names":false,"suffix":""},{"dropping-particle":"","family":"Kurose","given":"Tomoyuki","non-dropping-particle":"","parse-names":false,"suffix":""},{"dropping-particle":"","family":"Nakagawa","given":"Kei","non-dropping-particle":"","parse-names":false,"suffix":""},{"dropping-particle":"","family":"Mitsuhara","given":"Takafumi","non-dropping-particle":"","parse-names":false,"suffix":""},{"dropping-particle":"","family":"Kawahara","given":"Yumi","non-dropping-particle":"","parse-names":false,"suffix":""},{"dropping-particle":"","family":"Yuge","given":"Louis","non-dropping-particle":"","parse-names":false,"suffix":""}],"container-title":"Stem Cells and Development","id":"ITEM-1","issue":"17","issued":{"date-parts":[["2021"]]},"page":"865-875","publisher":"Mary Ann Liebert, Inc., publishers 140 Huguenot Street, 3rd Floor New …","title":"Comparisons of neurotrophic effects of mesenchymal stem cells derived from different tissues on chronic spinal cord injury rats","type":"article-journal","volume":"30"},"uris":["http://www.mendeley.com/documents/?uuid=1324cce5-701d-4cfe-ba26-b4941d67a6a0"]}],"mendeley":{"formattedCitation":"(Otsuka et al., 2021)","plainTextFormattedCitation":"(Otsuka et al., 2021)","previouslyFormattedCitation":"(Otsuka et al., 2021)"},"properties":{"noteIndex":0},"schema":"https://github.com/citation-style-language/schema/raw/master/csl-citation.json"}</w:instrText>
      </w:r>
      <w:r w:rsidR="008D0AAC">
        <w:rPr>
          <w:iCs/>
        </w:rPr>
        <w:fldChar w:fldCharType="separate"/>
      </w:r>
      <w:r w:rsidR="008D0AAC" w:rsidRPr="008D0AAC">
        <w:rPr>
          <w:iCs/>
          <w:noProof/>
        </w:rPr>
        <w:t>(Otsuka et al., 2021)</w:t>
      </w:r>
      <w:r w:rsidR="008D0AAC">
        <w:rPr>
          <w:iCs/>
        </w:rPr>
        <w:fldChar w:fldCharType="end"/>
      </w:r>
      <w:r w:rsidRPr="00A124AF">
        <w:rPr>
          <w:iCs/>
        </w:rPr>
        <w:t>. A previous study mentioned that around 50% of patients with B scores would experience changes in motoric strength, especially in lower extremities and sensory perception. Functional outcomes heavily depend on location and injury severity degree. Generally, injuries on C1-C3 with A-C scores tend to depend on others to perform daily activities and need ventilation to</w:t>
      </w:r>
      <w:r w:rsidR="008D0AAC">
        <w:rPr>
          <w:iCs/>
        </w:rPr>
        <w:t xml:space="preserve"> preserve respiratory function </w:t>
      </w:r>
      <w:r w:rsidR="008D0AAC">
        <w:rPr>
          <w:iCs/>
        </w:rPr>
        <w:fldChar w:fldCharType="begin" w:fldLock="1"/>
      </w:r>
      <w:r w:rsidR="008D0AAC">
        <w:rPr>
          <w:iCs/>
        </w:rPr>
        <w:instrText>ADDIN CSL_CITATION {"citationItems":[{"id":"ITEM-1","itemData":{"author":[{"dropping-particle":"","family":"Guest","given":"James","non-dropping-particle":"","parse-names":false,"suffix":""},{"dropping-particle":"","family":"Datta","given":"Nilanjana","non-dropping-particle":"","parse-names":false,"suffix":""},{"dropping-particle":"","family":"Jimsheleishvili","given":"George","non-dropping-particle":"","parse-names":false,"suffix":""},{"dropping-particle":"","family":"Gater","given":"David R","non-dropping-particle":"","parse-names":false,"suffix":""}],"id":"ITEM-1","issued":{"date-parts":[["2022"]]},"title":"Pathophysiology , Classification and Comorbidities after Traumatic Spinal Cord Injury","type":"article-journal"},"uris":["http://www.mendeley.com/documents/?uuid=474e3578-e76c-43f8-9b66-7daec56989bd"]}],"mendeley":{"formattedCitation":"(Guest et al., 2022)","plainTextFormattedCitation":"(Guest et al., 2022)","previouslyFormattedCitation":"(Guest et al., 2022)"},"properties":{"noteIndex":0},"schema":"https://github.com/citation-style-language/schema/raw/master/csl-citation.json"}</w:instrText>
      </w:r>
      <w:r w:rsidR="008D0AAC">
        <w:rPr>
          <w:iCs/>
        </w:rPr>
        <w:fldChar w:fldCharType="separate"/>
      </w:r>
      <w:r w:rsidR="008D0AAC" w:rsidRPr="008D0AAC">
        <w:rPr>
          <w:iCs/>
          <w:noProof/>
        </w:rPr>
        <w:t>(Guest et al., 2022)</w:t>
      </w:r>
      <w:r w:rsidR="008D0AAC">
        <w:rPr>
          <w:iCs/>
        </w:rPr>
        <w:fldChar w:fldCharType="end"/>
      </w:r>
      <w:r w:rsidR="008D0AAC">
        <w:rPr>
          <w:iCs/>
        </w:rPr>
        <w:t>.</w:t>
      </w:r>
      <w:r w:rsidRPr="00A124AF">
        <w:rPr>
          <w:iCs/>
        </w:rPr>
        <w:t xml:space="preserve"> However, it didn't happen in our patient due to a different mechanism, trauma course, and adequate management. The best clinical outcome was observed in patients who underwent decompression under 24 hours, although there's no consensus agreeing on the best time for oper</w:t>
      </w:r>
      <w:r w:rsidR="008D0AAC">
        <w:rPr>
          <w:iCs/>
        </w:rPr>
        <w:t xml:space="preserve">ation in spinal cord injury </w:t>
      </w:r>
      <w:r w:rsidR="008D0AAC">
        <w:rPr>
          <w:iCs/>
        </w:rPr>
        <w:fldChar w:fldCharType="begin" w:fldLock="1"/>
      </w:r>
      <w:r w:rsidR="00AF217A">
        <w:rPr>
          <w:iCs/>
        </w:rPr>
        <w:instrText>ADDIN CSL_CITATION {"citationItems":[{"id":"ITEM-1","itemData":{"ISSN":"1664-2295","author":[{"dropping-particle":"","family":"Alizadeh","given":"Arsalan","non-dropping-particle":"","parse-names":false,"suffix":""},{"dropping-particle":"","family":"Dyck","given":"Scott Matthew","non-dropping-particle":"","parse-names":false,"suffix":""},{"dropping-particle":"","family":"Karimi-Abdolrezaee","given":"Soheila","non-dropping-particle":"","parse-names":false,"suffix":""}],"container-title":"Frontiers in neurology","id":"ITEM-1","issued":{"date-parts":[["2019"]]},"page":"282","publisher":"Frontiers","title":"Traumatic spinal cord injury: an overview of pathophysiology, models and acute injury mechanisms","type":"article-journal","volume":"10"},"uris":["http://www.mendeley.com/documents/?uuid=0cdec06f-e484-40fd-af70-ffd2967a54cd"]}],"mendeley":{"formattedCitation":"(Alizadeh et al., 2019)","plainTextFormattedCitation":"(Alizadeh et al., 2019)","previouslyFormattedCitation":"(Alizadeh et al., 2019)"},"properties":{"noteIndex":0},"schema":"https://github.com/citation-style-language/schema/raw/master/csl-citation.json"}</w:instrText>
      </w:r>
      <w:r w:rsidR="008D0AAC">
        <w:rPr>
          <w:iCs/>
        </w:rPr>
        <w:fldChar w:fldCharType="separate"/>
      </w:r>
      <w:r w:rsidR="008D0AAC" w:rsidRPr="008D0AAC">
        <w:rPr>
          <w:iCs/>
          <w:noProof/>
        </w:rPr>
        <w:t>(Alizadeh et al., 2019)</w:t>
      </w:r>
      <w:r w:rsidR="008D0AAC">
        <w:rPr>
          <w:iCs/>
        </w:rPr>
        <w:fldChar w:fldCharType="end"/>
      </w:r>
      <w:r w:rsidR="008D0AAC">
        <w:rPr>
          <w:iCs/>
        </w:rPr>
        <w:t>.</w:t>
      </w:r>
    </w:p>
    <w:p w:rsidR="00A124AF" w:rsidRPr="00A124AF" w:rsidRDefault="00A124AF" w:rsidP="00A124AF">
      <w:pPr>
        <w:spacing w:line="276" w:lineRule="auto"/>
        <w:ind w:leftChars="0" w:firstLineChars="0" w:firstLine="709"/>
        <w:contextualSpacing/>
        <w:jc w:val="both"/>
        <w:rPr>
          <w:iCs/>
        </w:rPr>
      </w:pPr>
      <w:r w:rsidRPr="00A124AF">
        <w:rPr>
          <w:iCs/>
        </w:rPr>
        <w:t xml:space="preserve">Like other patients with cervical spine injury fractures, it is best to stabilize the neck area using a stiff collar in a neutral position to prevent mobilization and ensure the spinal column stays in line to avoid unnecessary movement. Anamnesis regarding type, mechanism and clinical course is beneficial in diagnosing and identifying primary injury and therapy approach. CT Scan examination also helps evaluation, specifically in the unconscious patient. ATLS algorithm and neurological examination are performed to score patients using ASIA classification, which helps create a more detailed management approach. X-Ray radiology was done in this case; however, whenever possible, CT-Scan is preferable because it gives out a better structural visualization, especially in transitional areas like </w:t>
      </w:r>
      <w:proofErr w:type="spellStart"/>
      <w:r w:rsidRPr="00A124AF">
        <w:rPr>
          <w:iCs/>
        </w:rPr>
        <w:t>craniocervical</w:t>
      </w:r>
      <w:proofErr w:type="spellEnd"/>
      <w:r w:rsidRPr="00A124AF">
        <w:rPr>
          <w:iCs/>
        </w:rPr>
        <w:t xml:space="preserve"> and cervicothora</w:t>
      </w:r>
      <w:r w:rsidR="00AF217A">
        <w:rPr>
          <w:iCs/>
        </w:rPr>
        <w:t xml:space="preserve">cic </w:t>
      </w:r>
      <w:r w:rsidR="00AF217A">
        <w:rPr>
          <w:iCs/>
        </w:rPr>
        <w:fldChar w:fldCharType="begin" w:fldLock="1"/>
      </w:r>
      <w:r w:rsidR="00AF217A">
        <w:rPr>
          <w:iCs/>
        </w:rPr>
        <w:instrText>ADDIN CSL_CITATION {"citationItems":[{"id":"ITEM-1","itemData":{"ISSN":"2168-8184","author":[{"dropping-particle":"","family":"Beeharry","given":"Mohammad Waseem","non-dropping-particle":"","parse-names":false,"suffix":""},{"dropping-particle":"","family":"Moqeem","given":"Komal","non-dropping-particle":"","parse-names":false,"suffix":""},{"dropping-particle":"","family":"Rohilla","given":"Mujeeb U","non-dropping-particle":"","parse-names":false,"suffix":""}],"container-title":"Cureus","id":"ITEM-1","issue":"4","issued":{"date-parts":[["2021"]]},"publisher":"Cureus","title":"Management of cervical spine fractures: a literature review","type":"article-journal","volume":"13"},"uris":["http://www.mendeley.com/documents/?uuid=f7e9d764-dcee-45e9-8645-49301e6e79eb"]}],"mendeley":{"formattedCitation":"(Beeharry et al., 2021)","plainTextFormattedCitation":"(Beeharry et al., 2021)","previouslyFormattedCitation":"(Beeharry et al., 2021)"},"properties":{"noteIndex":0},"schema":"https://github.com/citation-style-language/schema/raw/master/csl-citation.json"}</w:instrText>
      </w:r>
      <w:r w:rsidR="00AF217A">
        <w:rPr>
          <w:iCs/>
        </w:rPr>
        <w:fldChar w:fldCharType="separate"/>
      </w:r>
      <w:r w:rsidR="00AF217A" w:rsidRPr="00AF217A">
        <w:rPr>
          <w:iCs/>
          <w:noProof/>
        </w:rPr>
        <w:t>(Beeharry et al., 2021)</w:t>
      </w:r>
      <w:r w:rsidR="00AF217A">
        <w:rPr>
          <w:iCs/>
        </w:rPr>
        <w:fldChar w:fldCharType="end"/>
      </w:r>
      <w:r w:rsidR="00AF217A">
        <w:rPr>
          <w:iCs/>
        </w:rPr>
        <w:t>.</w:t>
      </w:r>
      <w:r w:rsidRPr="00A124AF">
        <w:rPr>
          <w:iCs/>
        </w:rPr>
        <w:t xml:space="preserve"> The patient, in this case, report, underwent three radiology examinations; X-Ray, CT-Scan and MRI. MRI remains the gold standard for spinal cord injury because its finding helps predict neurological outcomes</w:t>
      </w:r>
      <w:r w:rsidR="00AF217A">
        <w:rPr>
          <w:iCs/>
        </w:rPr>
        <w:t xml:space="preserve"> </w:t>
      </w:r>
      <w:r w:rsidR="00AF217A">
        <w:rPr>
          <w:iCs/>
        </w:rPr>
        <w:fldChar w:fldCharType="begin" w:fldLock="1"/>
      </w:r>
      <w:r w:rsidR="00AF217A">
        <w:rPr>
          <w:iCs/>
        </w:rPr>
        <w:instrText>ADDIN CSL_CITATION {"citationItems":[{"id":"ITEM-1","itemData":{"ISSN":"0940-6719","author":[{"dropping-particle":"","family":"Rutges","given":"Joost P H J","non-dropping-particle":"","parse-names":false,"suffix":""},{"dropping-particle":"","family":"Kwon","given":"Brian K","non-dropping-particle":"","parse-names":false,"suffix":""},{"dropping-particle":"","family":"Heran","given":"Manraj","non-dropping-particle":"","parse-names":false,"suffix":""},{"dropping-particle":"","family":"Ailon","given":"Tamir","non-dropping-particle":"","parse-names":false,"suffix":""},{"dropping-particle":"","family":"Street","given":"John T","non-dropping-particle":"","parse-names":false,"suffix":""},{"dropping-particle":"","family":"Dvorak","given":"Marcel F","non-dropping-particle":"","parse-names":false,"suffix":""}],"container-title":"European Spine Journal","id":"ITEM-1","issued":{"date-parts":[["2017"]]},"page":"2324-2332","publisher":"Springer","title":"A prospective serial MRI study following acute traumatic cervical spinal cord injury","type":"article-journal","volume":"26"},"uris":["http://www.mendeley.com/documents/?uuid=000ecf1b-88f0-41a9-8e2a-397d64ad225f"]}],"mendeley":{"formattedCitation":"(Rutges et al., 2017)","plainTextFormattedCitation":"(Rutges et al., 2017)","previouslyFormattedCitation":"(Rutges et al., 2017)"},"properties":{"noteIndex":0},"schema":"https://github.com/citation-style-language/schema/raw/master/csl-citation.json"}</w:instrText>
      </w:r>
      <w:r w:rsidR="00AF217A">
        <w:rPr>
          <w:iCs/>
        </w:rPr>
        <w:fldChar w:fldCharType="separate"/>
      </w:r>
      <w:r w:rsidR="00AF217A" w:rsidRPr="00AF217A">
        <w:rPr>
          <w:iCs/>
          <w:noProof/>
        </w:rPr>
        <w:t>(Rutges et al., 2017)</w:t>
      </w:r>
      <w:r w:rsidR="00AF217A">
        <w:rPr>
          <w:iCs/>
        </w:rPr>
        <w:fldChar w:fldCharType="end"/>
      </w:r>
      <w:r w:rsidR="00AF217A">
        <w:rPr>
          <w:iCs/>
        </w:rPr>
        <w:t>.</w:t>
      </w:r>
      <w:r w:rsidRPr="00A124AF">
        <w:rPr>
          <w:iCs/>
        </w:rPr>
        <w:t xml:space="preserve"> MRI also should be performed if conventional radiology and/or CT-Scan resulted in the suggestive discovery of ligament injury and/or disl</w:t>
      </w:r>
      <w:r w:rsidR="00AF217A">
        <w:rPr>
          <w:iCs/>
        </w:rPr>
        <w:t xml:space="preserve">ocation, similar to this case </w:t>
      </w:r>
      <w:r w:rsidR="00AF217A">
        <w:rPr>
          <w:iCs/>
        </w:rPr>
        <w:fldChar w:fldCharType="begin" w:fldLock="1"/>
      </w:r>
      <w:r w:rsidR="00AF217A">
        <w:rPr>
          <w:iCs/>
        </w:rPr>
        <w:instrText>ADDIN CSL_CITATION {"citationItems":[{"id":"ITEM-1","itemData":{"ISSN":"1471-2474","author":[{"dropping-particle":"","family":"Kumar","given":"Yogesh","non-dropping-particle":"","parse-names":false,"suffix":""},{"dropping-particle":"","family":"Hayashi","given":"Daichi","non-dropping-particle":"","parse-names":false,"suffix":""}],"container-title":"BMC musculoskeletal disorders","id":"ITEM-1","issue":"1","issued":{"date-parts":[["2016"]]},"page":"1-11","publisher":"BioMed Central","title":"Role of magnetic resonance imaging in acute spinal trauma: a pictorial review","type":"article-journal","volume":"17"},"uris":["http://www.mendeley.com/documents/?uuid=659e9514-e010-49d8-ad50-0363b6584408"]}],"mendeley":{"formattedCitation":"(Kumar &amp; Hayashi, 2016)","plainTextFormattedCitation":"(Kumar &amp; Hayashi, 2016)","previouslyFormattedCitation":"(Kumar &amp; Hayashi, 2016)"},"properties":{"noteIndex":0},"schema":"https://github.com/citation-style-language/schema/raw/master/csl-citation.json"}</w:instrText>
      </w:r>
      <w:r w:rsidR="00AF217A">
        <w:rPr>
          <w:iCs/>
        </w:rPr>
        <w:fldChar w:fldCharType="separate"/>
      </w:r>
      <w:r w:rsidR="00AF217A" w:rsidRPr="00AF217A">
        <w:rPr>
          <w:iCs/>
          <w:noProof/>
        </w:rPr>
        <w:t>(Kumar &amp; Hayashi, 2016)</w:t>
      </w:r>
      <w:r w:rsidR="00AF217A">
        <w:rPr>
          <w:iCs/>
        </w:rPr>
        <w:fldChar w:fldCharType="end"/>
      </w:r>
      <w:r w:rsidR="00AF217A">
        <w:rPr>
          <w:iCs/>
        </w:rPr>
        <w:t>.</w:t>
      </w:r>
      <w:r w:rsidRPr="00A124AF">
        <w:rPr>
          <w:iCs/>
        </w:rPr>
        <w:t xml:space="preserve"> MRI offers several advantages, such as higher picture resolution, multiplanar imaging and various sequences needed in this condition evaluation. Worse neurological outcomes were seen with oedema </w:t>
      </w:r>
      <w:r w:rsidR="00AF217A">
        <w:rPr>
          <w:iCs/>
        </w:rPr>
        <w:t xml:space="preserve">and hematoma on the spinal cord </w:t>
      </w:r>
      <w:r w:rsidR="00AF217A">
        <w:rPr>
          <w:iCs/>
        </w:rPr>
        <w:fldChar w:fldCharType="begin" w:fldLock="1"/>
      </w:r>
      <w:r w:rsidR="00AF217A">
        <w:rPr>
          <w:iCs/>
        </w:rPr>
        <w:instrText>ADDIN CSL_CITATION {"citationItems":[{"id":"ITEM-1","itemData":{"ISSN":"2090-4762","author":[{"dropping-particle":"","family":"Alkadeem","given":"Radwa Mohamed Diaa Eldeen Abd Alsamee","non-dropping-particle":"","parse-names":false,"suffix":""},{"dropping-particle":"","family":"El-Shafey","given":"Mohammad Hassan Rashad","non-dropping-particle":"","parse-names":false,"suffix":""},{"dropping-particle":"","family":"Eldein","given":"Ali Ebrahim Mohammad Seif","non-dropping-particle":"","parse-names":false,"suffix":""},{"dropping-particle":"","family":"Nagy","given":"Hanan Ahmad","non-dropping-particle":"","parse-names":false,"suffix":""}],"container-title":"Egyptian Journal of Radiology and Nuclear Medicine","id":"ITEM-1","issue":"1","issued":{"date-parts":[["2021"]]},"page":"1-13","publisher":"SpringerOpen","title":"Magnetic resonance diffusion tensor imaging of acute spinal cord injury in spinal trauma","type":"article-journal","volume":"52"},"uris":["http://www.mendeley.com/documents/?uuid=ed5b6d98-5ec9-484f-b533-96483669c470"]}],"mendeley":{"formattedCitation":"(Alkadeem et al., 2021)","plainTextFormattedCitation":"(Alkadeem et al., 2021)","previouslyFormattedCitation":"(Alkadeem et al., 2021)"},"properties":{"noteIndex":0},"schema":"https://github.com/citation-style-language/schema/raw/master/csl-citation.json"}</w:instrText>
      </w:r>
      <w:r w:rsidR="00AF217A">
        <w:rPr>
          <w:iCs/>
        </w:rPr>
        <w:fldChar w:fldCharType="separate"/>
      </w:r>
      <w:r w:rsidR="00AF217A" w:rsidRPr="00AF217A">
        <w:rPr>
          <w:iCs/>
          <w:noProof/>
        </w:rPr>
        <w:t>(Alkadeem et al., 2021)</w:t>
      </w:r>
      <w:r w:rsidR="00AF217A">
        <w:rPr>
          <w:iCs/>
        </w:rPr>
        <w:fldChar w:fldCharType="end"/>
      </w:r>
      <w:r w:rsidR="00AF217A">
        <w:rPr>
          <w:iCs/>
        </w:rPr>
        <w:t>.</w:t>
      </w:r>
      <w:r w:rsidRPr="00A124AF">
        <w:rPr>
          <w:iCs/>
        </w:rPr>
        <w:t xml:space="preserve"> The patient's MRI showed compression on the anterior horn, so the patient was scheduled for a decompression procedure.</w:t>
      </w:r>
    </w:p>
    <w:p w:rsidR="00A124AF" w:rsidRPr="00A124AF" w:rsidRDefault="00A124AF" w:rsidP="00A124AF">
      <w:pPr>
        <w:spacing w:line="276" w:lineRule="auto"/>
        <w:ind w:leftChars="0" w:firstLineChars="0" w:firstLine="709"/>
        <w:contextualSpacing/>
        <w:jc w:val="both"/>
        <w:rPr>
          <w:iCs/>
        </w:rPr>
      </w:pPr>
      <w:r w:rsidRPr="00A124AF">
        <w:rPr>
          <w:iCs/>
        </w:rPr>
        <w:t xml:space="preserve">A more precise outcome prediction can be made 72 hours after the primary injury. Another important aspect of predicting prognosis is identifying whether the damage was complete or incomplete. Spinal cord injury patients will have shown functional ability improvement in the first three months before hitting a plateau in month 9. However, a complete recovery can take up to 12-18 months. Patients' recovery with incomplete tetraplegia is better, but sometimes it only happens in the lower level from the injured area. Similar to what's done in this patient, motoric </w:t>
      </w:r>
      <w:r w:rsidRPr="00A124AF">
        <w:rPr>
          <w:iCs/>
        </w:rPr>
        <w:lastRenderedPageBreak/>
        <w:t>function improvement can be evaluated from motoric strength moments after trauma and is linked with</w:t>
      </w:r>
      <w:r w:rsidR="00AF217A">
        <w:rPr>
          <w:iCs/>
        </w:rPr>
        <w:t xml:space="preserve"> better neurological outcomes </w:t>
      </w:r>
      <w:r w:rsidR="00AF217A">
        <w:rPr>
          <w:iCs/>
        </w:rPr>
        <w:fldChar w:fldCharType="begin" w:fldLock="1"/>
      </w:r>
      <w:r w:rsidR="00AF217A">
        <w:rPr>
          <w:iCs/>
        </w:rPr>
        <w:instrText>ADDIN CSL_CITATION {"citationItems":[{"id":"ITEM-1","itemData":{"ISSN":"1664-2295","author":[{"dropping-particle":"","family":"Alizadeh","given":"Arsalan","non-dropping-particle":"","parse-names":false,"suffix":""},{"dropping-particle":"","family":"Dyck","given":"Scott Matthew","non-dropping-particle":"","parse-names":false,"suffix":""},{"dropping-particle":"","family":"Karimi-Abdolrezaee","given":"Soheila","non-dropping-particle":"","parse-names":false,"suffix":""}],"container-title":"Frontiers in neurology","id":"ITEM-1","issued":{"date-parts":[["2019"]]},"page":"282","publisher":"Frontiers","title":"Traumatic spinal cord injury: an overview of pathophysiology, models and acute injury mechanisms","type":"article-journal","volume":"10"},"uris":["http://www.mendeley.com/documents/?uuid=0cdec06f-e484-40fd-af70-ffd2967a54cd"]}],"mendeley":{"formattedCitation":"(Alizadeh et al., 2019)","plainTextFormattedCitation":"(Alizadeh et al., 2019)","previouslyFormattedCitation":"(Alizadeh et al., 2019)"},"properties":{"noteIndex":0},"schema":"https://github.com/citation-style-language/schema/raw/master/csl-citation.json"}</w:instrText>
      </w:r>
      <w:r w:rsidR="00AF217A">
        <w:rPr>
          <w:iCs/>
        </w:rPr>
        <w:fldChar w:fldCharType="separate"/>
      </w:r>
      <w:r w:rsidR="00AF217A" w:rsidRPr="00AF217A">
        <w:rPr>
          <w:iCs/>
          <w:noProof/>
        </w:rPr>
        <w:t>(Alizadeh et al., 2019)</w:t>
      </w:r>
      <w:r w:rsidR="00AF217A">
        <w:rPr>
          <w:iCs/>
        </w:rPr>
        <w:fldChar w:fldCharType="end"/>
      </w:r>
      <w:r w:rsidR="00AF217A">
        <w:rPr>
          <w:iCs/>
        </w:rPr>
        <w:t>.</w:t>
      </w:r>
      <w:r w:rsidRPr="00A124AF">
        <w:rPr>
          <w:iCs/>
        </w:rPr>
        <w:t xml:space="preserve"> Other factors associated with patient's betterment are age, comorbidity and social environment</w:t>
      </w:r>
      <w:r w:rsidR="00AF217A">
        <w:rPr>
          <w:iCs/>
        </w:rPr>
        <w:t xml:space="preserve"> </w:t>
      </w:r>
      <w:r w:rsidR="00AF217A">
        <w:rPr>
          <w:iCs/>
        </w:rPr>
        <w:fldChar w:fldCharType="begin" w:fldLock="1"/>
      </w:r>
      <w:r w:rsidR="00AF217A">
        <w:rPr>
          <w:iCs/>
        </w:rPr>
        <w:instrText>ADDIN CSL_CITATION {"citationItems":[{"id":"ITEM-1","itemData":{"DOI":"10.1001/jamanetworkopen.2021.33604","author":[{"dropping-particle":"","family":"Investigation","given":"Original","non-dropping-particle":"","parse-names":false,"suffix":""}],"id":"ITEM-1","issue":"11","issued":{"date-parts":[["2021"]]},"page":"1-13","title":"Effect of Early vs Delayed Surgical Treatment on Motor Recovery in Incomplete Cervical Spinal Cord Injury With Preexisting Cervical Stenosis A Randomized Clinical Trial","type":"article-journal","volume":"4"},"uris":["http://www.mendeley.com/documents/?uuid=da8477e9-2268-4157-90ed-b050c327d89f"]}],"mendeley":{"formattedCitation":"(Investigation, 2021)","plainTextFormattedCitation":"(Investigation, 2021)","previouslyFormattedCitation":"(Investigation, 2021)"},"properties":{"noteIndex":0},"schema":"https://github.com/citation-style-language/schema/raw/master/csl-citation.json"}</w:instrText>
      </w:r>
      <w:r w:rsidR="00AF217A">
        <w:rPr>
          <w:iCs/>
        </w:rPr>
        <w:fldChar w:fldCharType="separate"/>
      </w:r>
      <w:r w:rsidR="00AF217A" w:rsidRPr="00AF217A">
        <w:rPr>
          <w:iCs/>
          <w:noProof/>
        </w:rPr>
        <w:t>(Investigation, 2021)</w:t>
      </w:r>
      <w:r w:rsidR="00AF217A">
        <w:rPr>
          <w:iCs/>
        </w:rPr>
        <w:fldChar w:fldCharType="end"/>
      </w:r>
      <w:r w:rsidRPr="00A124AF">
        <w:rPr>
          <w:iCs/>
        </w:rPr>
        <w:t>.The reported patient is relatively young and healthy with no other comorbidity, which might explain the observed well-functional outcome.</w:t>
      </w:r>
    </w:p>
    <w:p w:rsidR="00A124AF" w:rsidRPr="00A124AF" w:rsidRDefault="00A124AF" w:rsidP="00A124AF">
      <w:pPr>
        <w:spacing w:line="276" w:lineRule="auto"/>
        <w:ind w:leftChars="0" w:firstLineChars="0" w:firstLine="709"/>
        <w:contextualSpacing/>
        <w:jc w:val="both"/>
        <w:rPr>
          <w:iCs/>
        </w:rPr>
      </w:pPr>
      <w:r w:rsidRPr="00A124AF">
        <w:rPr>
          <w:iCs/>
        </w:rPr>
        <w:t>A dislocation fracture in this patient caused spinal cord compression until the anterior horn, eventually causing motoric dysfunction. This goes with the primary injury mechanism concept that commonly happens in spine dislocation fractures. This kind of injury can affect ascending and descending impulse transport, and disrupt blood flow and cell membrane, leading to spinal shock, systemic hypotension, vasospasm, ischemia, ionic imbalance and neurotransmitte</w:t>
      </w:r>
      <w:r w:rsidR="00AF217A">
        <w:rPr>
          <w:iCs/>
        </w:rPr>
        <w:t xml:space="preserve">r accumulation or </w:t>
      </w:r>
      <w:proofErr w:type="spellStart"/>
      <w:r w:rsidR="00AF217A">
        <w:rPr>
          <w:iCs/>
        </w:rPr>
        <w:t>exotoxicity</w:t>
      </w:r>
      <w:proofErr w:type="spellEnd"/>
      <w:r w:rsidR="00AF217A">
        <w:rPr>
          <w:iCs/>
        </w:rPr>
        <w:t xml:space="preserve"> </w:t>
      </w:r>
      <w:r w:rsidR="00AF217A">
        <w:rPr>
          <w:iCs/>
        </w:rPr>
        <w:fldChar w:fldCharType="begin" w:fldLock="1"/>
      </w:r>
      <w:r w:rsidR="007A68E5">
        <w:rPr>
          <w:iCs/>
        </w:rPr>
        <w:instrText>ADDIN CSL_CITATION {"citationItems":[{"id":"ITEM-1","itemData":{"ISSN":"1664-2295","author":[{"dropping-particle":"","family":"Alizadeh","given":"Arsalan","non-dropping-particle":"","parse-names":false,"suffix":""},{"dropping-particle":"","family":"Dyck","given":"Scott Matthew","non-dropping-particle":"","parse-names":false,"suffix":""},{"dropping-particle":"","family":"Karimi-Abdolrezaee","given":"Soheila","non-dropping-particle":"","parse-names":false,"suffix":""}],"container-title":"Frontiers in neurology","id":"ITEM-1","issued":{"date-parts":[["2019"]]},"page":"282","publisher":"Frontiers","title":"Traumatic spinal cord injury: an overview of pathophysiology, models and acute injury mechanisms","type":"article-journal","volume":"10"},"uris":["http://www.mendeley.com/documents/?uuid=0cdec06f-e484-40fd-af70-ffd2967a54cd"]}],"mendeley":{"formattedCitation":"(Alizadeh et al., 2019)","plainTextFormattedCitation":"(Alizadeh et al., 2019)","previouslyFormattedCitation":"(Alizadeh et al., 2019)"},"properties":{"noteIndex":0},"schema":"https://github.com/citation-style-language/schema/raw/master/csl-citation.json"}</w:instrText>
      </w:r>
      <w:r w:rsidR="00AF217A">
        <w:rPr>
          <w:iCs/>
        </w:rPr>
        <w:fldChar w:fldCharType="separate"/>
      </w:r>
      <w:r w:rsidR="00AF217A" w:rsidRPr="00AF217A">
        <w:rPr>
          <w:iCs/>
          <w:noProof/>
        </w:rPr>
        <w:t>(Alizadeh et al., 2019)</w:t>
      </w:r>
      <w:r w:rsidR="00AF217A">
        <w:rPr>
          <w:iCs/>
        </w:rPr>
        <w:fldChar w:fldCharType="end"/>
      </w:r>
      <w:r w:rsidR="00AF217A">
        <w:rPr>
          <w:iCs/>
        </w:rPr>
        <w:t>.</w:t>
      </w:r>
      <w:r w:rsidRPr="00A124AF">
        <w:rPr>
          <w:iCs/>
        </w:rPr>
        <w:t xml:space="preserve"> Anterior spinal cord compression at the level of C2-C3 in the patient hindered neurotransmitter impulse transport and caused total paralysis in all extremities without any sensory dysfunction. Like the theory, a lesion on the anterior horn will disturb the motoric sys</w:t>
      </w:r>
      <w:r w:rsidR="007A68E5">
        <w:rPr>
          <w:iCs/>
        </w:rPr>
        <w:t xml:space="preserve">tem from the neck to the feet </w:t>
      </w:r>
      <w:r w:rsidR="007A68E5">
        <w:rPr>
          <w:iCs/>
        </w:rPr>
        <w:fldChar w:fldCharType="begin" w:fldLock="1"/>
      </w:r>
      <w:r w:rsidR="007A68E5">
        <w:rPr>
          <w:iCs/>
        </w:rPr>
        <w:instrText>ADDIN CSL_CITATION {"citationItems":[{"id":"ITEM-1","itemData":{"ISBN":"813194462X","author":[{"dropping-particle":"","family":"Louis","given":"Robert","non-dropping-particle":"","parse-names":false,"suffix":""},{"dropping-particle":"","family":"Richards","given":"Adeline","non-dropping-particle":"","parse-names":false,"suffix":""}],"id":"ITEM-1","issued":{"date-parts":[["2018"]]},"publisher":"B JAIN Publishers PVT Limited","title":"TREASURE ISLAND.","type":"book"},"uris":["http://www.mendeley.com/documents/?uuid=6a78bfe9-953d-484f-a34a-5ffbc37633b1"]}],"mendeley":{"formattedCitation":"(Louis &amp; Richards, 2018)","plainTextFormattedCitation":"(Louis &amp; Richards, 2018)","previouslyFormattedCitation":"(Louis &amp; Richards, 2018)"},"properties":{"noteIndex":0},"schema":"https://github.com/citation-style-language/schema/raw/master/csl-citation.json"}</w:instrText>
      </w:r>
      <w:r w:rsidR="007A68E5">
        <w:rPr>
          <w:iCs/>
        </w:rPr>
        <w:fldChar w:fldCharType="separate"/>
      </w:r>
      <w:r w:rsidR="007A68E5" w:rsidRPr="007A68E5">
        <w:rPr>
          <w:iCs/>
          <w:noProof/>
        </w:rPr>
        <w:t>(Louis &amp; Richards, 2018)</w:t>
      </w:r>
      <w:r w:rsidR="007A68E5">
        <w:rPr>
          <w:iCs/>
        </w:rPr>
        <w:fldChar w:fldCharType="end"/>
      </w:r>
      <w:r w:rsidR="007A68E5">
        <w:rPr>
          <w:iCs/>
        </w:rPr>
        <w:t>.</w:t>
      </w:r>
      <w:r w:rsidRPr="00A124AF">
        <w:rPr>
          <w:iCs/>
        </w:rPr>
        <w:t xml:space="preserve"> A retropulsion of a fracture fragment can be displaced towards the spinal canal, causing more injury. The condition can be worse with </w:t>
      </w:r>
      <w:proofErr w:type="spellStart"/>
      <w:r w:rsidRPr="00A124AF">
        <w:rPr>
          <w:iCs/>
        </w:rPr>
        <w:t>discoligamentous</w:t>
      </w:r>
      <w:proofErr w:type="spellEnd"/>
      <w:r w:rsidRPr="00A124AF">
        <w:rPr>
          <w:iCs/>
        </w:rPr>
        <w:t xml:space="preserve"> and vascular injuries around it.</w:t>
      </w:r>
    </w:p>
    <w:p w:rsidR="00A124AF" w:rsidRPr="00A124AF" w:rsidRDefault="00A124AF" w:rsidP="00A124AF">
      <w:pPr>
        <w:spacing w:line="276" w:lineRule="auto"/>
        <w:ind w:leftChars="0" w:firstLineChars="0" w:firstLine="709"/>
        <w:contextualSpacing/>
        <w:jc w:val="both"/>
        <w:rPr>
          <w:iCs/>
        </w:rPr>
      </w:pPr>
      <w:r w:rsidRPr="00A124AF">
        <w:rPr>
          <w:iCs/>
        </w:rPr>
        <w:t>The purpose of temporary external stabilization is to maintain the traumatized neck area stability and is a part of operation preparation. This maneuver goes along with the first cervical spine dislocation fracture principle: decompressing the spinal cord and ensuring permanent stability using pedicle screws via a posterior approach. The pedicle screw can hinder spinal growth in kids. Still, it can be done considering its effect on decreasing fixation and fusion degree, superior biomechanics structure, support fusion rate and reducing the need for external fixation. However, the risk of complications can't be eliminated. The posterior approach is preferred over the anterior to minimize infection and other complication risks a</w:t>
      </w:r>
      <w:r w:rsidR="007A68E5">
        <w:rPr>
          <w:iCs/>
        </w:rPr>
        <w:t xml:space="preserve">ssociated with a tracheostomy </w:t>
      </w:r>
      <w:r w:rsidR="007A68E5">
        <w:rPr>
          <w:iCs/>
        </w:rPr>
        <w:fldChar w:fldCharType="begin" w:fldLock="1"/>
      </w:r>
      <w:r w:rsidR="007A68E5">
        <w:rPr>
          <w:iCs/>
        </w:rPr>
        <w:instrText>ADDIN CSL_CITATION {"citationItems":[{"id":"ITEM-1","itemData":{"author":[{"dropping-particle":"","family":"Zeng","given":"Jiayu","non-dropping-particle":"","parse-names":false,"suffix":""},{"dropping-particle":"","family":"Jiang","given":"Hua","non-dropping-particle":"","parse-names":false,"suffix":""},{"dropping-particle":"","family":"Zhuo","given":"Yingquan","non-dropping-particle":"","parse-names":false,"suffix":""},{"dropping-particle":"","family":"Xu","given":"Yongkang","non-dropping-particle":"","parse-names":false,"suffix":""},{"dropping-particle":"","family":"Deng","given":"Zhigang","non-dropping-particle":"","parse-names":false,"suffix":""}],"container-title":"Medicine","id":"ITEM-1","issue":"30","issued":{"date-parts":[["2022"]]},"publisher":"Wolters Kluwer Health","title":"A case report on a child with fracture and dislocation of the upper cervical spine accompanied by spinal cord injury","type":"article-journal","volume":"101"},"uris":["http://www.mendeley.com/documents/?uuid=1cdf3073-a8a2-4e99-ba4c-d85c5a46d96e"]}],"mendeley":{"formattedCitation":"(Zeng et al., 2022)","plainTextFormattedCitation":"(Zeng et al., 2022)","previouslyFormattedCitation":"(Zeng et al., 2022)"},"properties":{"noteIndex":0},"schema":"https://github.com/citation-style-language/schema/raw/master/csl-citation.json"}</w:instrText>
      </w:r>
      <w:r w:rsidR="007A68E5">
        <w:rPr>
          <w:iCs/>
        </w:rPr>
        <w:fldChar w:fldCharType="separate"/>
      </w:r>
      <w:r w:rsidR="007A68E5" w:rsidRPr="007A68E5">
        <w:rPr>
          <w:iCs/>
          <w:noProof/>
        </w:rPr>
        <w:t>(Zeng et al., 2022)</w:t>
      </w:r>
      <w:r w:rsidR="007A68E5">
        <w:rPr>
          <w:iCs/>
        </w:rPr>
        <w:fldChar w:fldCharType="end"/>
      </w:r>
      <w:r w:rsidR="007A68E5">
        <w:rPr>
          <w:iCs/>
        </w:rPr>
        <w:t>.</w:t>
      </w:r>
      <w:r w:rsidRPr="00A124AF">
        <w:rPr>
          <w:iCs/>
        </w:rPr>
        <w:t xml:space="preserve"> Till now, there has yet to be a consensus recommending either approach as long as the primary objectives of decompression are achieved. Other factors influencing the therapy approaches include changes in bone structure, ner</w:t>
      </w:r>
      <w:r w:rsidR="007A68E5">
        <w:rPr>
          <w:iCs/>
        </w:rPr>
        <w:t xml:space="preserve">ve compression and symptoms </w:t>
      </w:r>
      <w:r w:rsidR="007A68E5">
        <w:rPr>
          <w:iCs/>
        </w:rPr>
        <w:fldChar w:fldCharType="begin" w:fldLock="1"/>
      </w:r>
      <w:r w:rsidR="007A68E5">
        <w:rPr>
          <w:iCs/>
        </w:rPr>
        <w:instrText>ADDIN CSL_CITATION {"citationItems":[{"id":"ITEM-1","itemData":{"author":[{"dropping-particle":"","family":"Jung","given":"Yoon Gyo","non-dropping-particle":"","parse-names":false,"suffix":""},{"dropping-particle":"","family":"Lee","given":"Subum","non-dropping-particle":"","parse-names":false,"suffix":""},{"dropping-particle":"","family":"Jeong","given":"Seong Kyun","non-dropping-particle":"","parse-names":false,"suffix":""},{"dropping-particle":"","family":"Kim","given":"Myeongjong","non-dropping-particle":"","parse-names":false,"suffix":""},{"dropping-particle":"","family":"Park","given":"Jin Hoon","non-dropping-particle":"","parse-names":false,"suffix":""}],"container-title":"Korean Journal of Neurotrauma","id":"ITEM-1","issue":"1","issued":{"date-parts":[["2020"]]},"page":"18","publisher":"Korean Neurotraumatology Society","title":"Subaxial cervical pedicle screw in traumatic spinal surgery","type":"article-journal","volume":"16"},"uris":["http://www.mendeley.com/documents/?uuid=c830159c-fd9c-4e0f-b803-1dc71e00fecb"]}],"mendeley":{"formattedCitation":"(Jung et al., 2020)","plainTextFormattedCitation":"(Jung et al., 2020)","previouslyFormattedCitation":"(Jung et al., 2020)"},"properties":{"noteIndex":0},"schema":"https://github.com/citation-style-language/schema/raw/master/csl-citation.json"}</w:instrText>
      </w:r>
      <w:r w:rsidR="007A68E5">
        <w:rPr>
          <w:iCs/>
        </w:rPr>
        <w:fldChar w:fldCharType="separate"/>
      </w:r>
      <w:r w:rsidR="007A68E5" w:rsidRPr="007A68E5">
        <w:rPr>
          <w:iCs/>
          <w:noProof/>
        </w:rPr>
        <w:t>(Jung et al., 2020)</w:t>
      </w:r>
      <w:r w:rsidR="007A68E5">
        <w:rPr>
          <w:iCs/>
        </w:rPr>
        <w:fldChar w:fldCharType="end"/>
      </w:r>
      <w:r w:rsidR="007A68E5">
        <w:rPr>
          <w:iCs/>
        </w:rPr>
        <w:t>.</w:t>
      </w:r>
      <w:r w:rsidRPr="00A124AF">
        <w:rPr>
          <w:iCs/>
        </w:rPr>
        <w:t xml:space="preserve"> The management of the reported patient went along with other C2-C3 cases that experienced multiple column instability, considering a heavier burden on the anter</w:t>
      </w:r>
      <w:r w:rsidR="007A68E5">
        <w:rPr>
          <w:iCs/>
        </w:rPr>
        <w:t xml:space="preserve">ior side </w:t>
      </w:r>
      <w:r w:rsidR="007A68E5">
        <w:rPr>
          <w:iCs/>
        </w:rPr>
        <w:fldChar w:fldCharType="begin" w:fldLock="1"/>
      </w:r>
      <w:r w:rsidR="007A68E5">
        <w:rPr>
          <w:iCs/>
        </w:rPr>
        <w:instrText>ADDIN CSL_CITATION {"citationItems":[{"id":"ITEM-1","itemData":{"ISSN":"2058-6124","author":[{"dropping-particle":"","family":"Alexander","given":"Hepzibha","non-dropping-particle":"","parse-names":false,"suffix":""},{"dropping-particle":"","family":"Dowlati","given":"Ehsan","non-dropping-particle":"","parse-names":false,"suffix":""},{"dropping-particle":"","family":"McGowan","given":"Jason E","non-dropping-particle":"","parse-names":false,"suffix":""},{"dropping-particle":"","family":"Mason","given":"Robert B","non-dropping-particle":"","parse-names":false,"suffix":""},{"dropping-particle":"","family":"Anaizi","given":"Amjad","non-dropping-particle":"","parse-names":false,"suffix":""}],"container-title":"Spinal Cord Series and Cases","id":"ITEM-1","issue":"1","issued":{"date-parts":[["2019"]]},"page":"4","publisher":"Nature Publishing Group UK London","title":"C2–C3 spinal fracture subluxation with ligamentous and vascular injury: a case report and review of management","type":"article-journal","volume":"5"},"uris":["http://www.mendeley.com/documents/?uuid=3f603c3d-4130-4e7d-b6dd-75899152c4fb"]}],"mendeley":{"formattedCitation":"(Alexander et al., 2019)","plainTextFormattedCitation":"(Alexander et al., 2019)","previouslyFormattedCitation":"(Alexander et al., 2019)"},"properties":{"noteIndex":0},"schema":"https://github.com/citation-style-language/schema/raw/master/csl-citation.json"}</w:instrText>
      </w:r>
      <w:r w:rsidR="007A68E5">
        <w:rPr>
          <w:iCs/>
        </w:rPr>
        <w:fldChar w:fldCharType="separate"/>
      </w:r>
      <w:r w:rsidR="007A68E5" w:rsidRPr="007A68E5">
        <w:rPr>
          <w:iCs/>
          <w:noProof/>
        </w:rPr>
        <w:t>(Alexander et al., 2019)</w:t>
      </w:r>
      <w:r w:rsidR="007A68E5">
        <w:rPr>
          <w:iCs/>
        </w:rPr>
        <w:fldChar w:fldCharType="end"/>
      </w:r>
      <w:r w:rsidR="007A68E5">
        <w:rPr>
          <w:iCs/>
        </w:rPr>
        <w:t>.</w:t>
      </w:r>
      <w:r w:rsidRPr="00A124AF">
        <w:rPr>
          <w:iCs/>
        </w:rPr>
        <w:t xml:space="preserve"> The affected spinal cord decompression operation will fix the motoric impulse transport peripherally so the motoric function can be regained.</w:t>
      </w:r>
    </w:p>
    <w:p w:rsidR="005A7286" w:rsidRPr="00A124AF" w:rsidRDefault="00A124AF" w:rsidP="00A124AF">
      <w:pPr>
        <w:spacing w:line="276" w:lineRule="auto"/>
        <w:ind w:leftChars="0" w:left="0" w:firstLineChars="0" w:firstLine="709"/>
        <w:contextualSpacing/>
        <w:jc w:val="both"/>
        <w:rPr>
          <w:iCs/>
        </w:rPr>
      </w:pPr>
      <w:r w:rsidRPr="00A124AF">
        <w:rPr>
          <w:iCs/>
        </w:rPr>
        <w:t>Physiotherapy is also needed to optimize the patient's motoric function to how it was pre-injury. The Sci-Fi study stated five essential aspects to help recover the patient's functional ability: basic mobility, self-care, fine motor, wheel</w:t>
      </w:r>
      <w:r w:rsidR="007A68E5">
        <w:rPr>
          <w:iCs/>
        </w:rPr>
        <w:t xml:space="preserve">chair mobility and ambulation </w:t>
      </w:r>
      <w:r w:rsidR="007A68E5">
        <w:rPr>
          <w:iCs/>
        </w:rPr>
        <w:fldChar w:fldCharType="begin" w:fldLock="1"/>
      </w:r>
      <w:r w:rsidR="007A68E5">
        <w:rPr>
          <w:iCs/>
        </w:rPr>
        <w:instrText>ADDIN CSL_CITATION {"citationItems":[{"id":"ITEM-1","itemData":{"author":[{"dropping-particle":"","family":"Wu","given":"Xinfeng","non-dropping-particle":"","parse-names":false,"suffix":""},{"dropping-particle":"","family":"Song","given":"Qingpeng","non-dropping-particle":"","parse-names":false,"suffix":""},{"dropping-particle":"","family":"Jin","given":"Peihao","non-dropping-particle":"","parse-names":false,"suffix":""},{"dropping-particle":"","family":"Liu","given":"Bo","non-dropping-particle":"","parse-names":false,"suffix":""}],"id":"ITEM-1","issue":"January 2017","issued":{"date-parts":[["2022"]]},"title":"Outcomes of Patients with Cervical Spinal Cord Injury Treated by Surgery and Their Prognostic Factors","type":"article-journal","volume":"2022"},"uris":["http://www.mendeley.com/documents/?uuid=aa20f309-efc6-4c56-889c-556f07c73bf2"]}],"mendeley":{"formattedCitation":"(Wu et al., 2022)","plainTextFormattedCitation":"(Wu et al., 2022)","previouslyFormattedCitation":"(Wu et al., 2022)"},"properties":{"noteIndex":0},"schema":"https://github.com/citation-style-language/schema/raw/master/csl-citation.json"}</w:instrText>
      </w:r>
      <w:r w:rsidR="007A68E5">
        <w:rPr>
          <w:iCs/>
        </w:rPr>
        <w:fldChar w:fldCharType="separate"/>
      </w:r>
      <w:r w:rsidR="007A68E5" w:rsidRPr="007A68E5">
        <w:rPr>
          <w:iCs/>
          <w:noProof/>
        </w:rPr>
        <w:t>(Wu et al., 2022)</w:t>
      </w:r>
      <w:r w:rsidR="007A68E5">
        <w:rPr>
          <w:iCs/>
        </w:rPr>
        <w:fldChar w:fldCharType="end"/>
      </w:r>
      <w:r w:rsidR="007A68E5">
        <w:rPr>
          <w:iCs/>
        </w:rPr>
        <w:t>.</w:t>
      </w:r>
      <w:r w:rsidRPr="00A124AF">
        <w:rPr>
          <w:iCs/>
        </w:rPr>
        <w:t xml:space="preserve"> Physiotherapy should be started as soon as possible to build strength and flexibility to support a safe </w:t>
      </w:r>
      <w:r w:rsidR="007A68E5">
        <w:rPr>
          <w:iCs/>
        </w:rPr>
        <w:t xml:space="preserve">and effective healing process </w:t>
      </w:r>
      <w:r w:rsidR="007A68E5">
        <w:rPr>
          <w:iCs/>
        </w:rPr>
        <w:fldChar w:fldCharType="begin" w:fldLock="1"/>
      </w:r>
      <w:r w:rsidR="007A68E5">
        <w:rPr>
          <w:iCs/>
        </w:rPr>
        <w:instrText>ADDIN CSL_CITATION {"citationItems":[{"id":"ITEM-1","itemData":{"DOI":"10.9734/JPRI/2021/v33i59A34265","author":[{"dropping-particle":"","family":"Gabada","given":"Rishika H","non-dropping-particle":"","parse-names":false,"suffix":""},{"dropping-particle":"","family":"Kasatwar","given":"Pooja","non-dropping-particle":"","parse-names":false,"suffix":""},{"dropping-particle":"","family":"Kulkarni","given":"Chaitanya A","non-dropping-particle":"","parse-names":false,"suffix":""}],"id":"ITEM-1","issued":{"date-parts":[["2021"]]},"page":"205-208","title":"Rehabilitation Strategies in Management of Complex Case of Cervical Burst Fracture- A Case Report","type":"article-journal","volume":"33"},"uris":["http://www.mendeley.com/documents/?uuid=9ff92f41-e856-4bcf-adda-5f11df922921"]}],"mendeley":{"formattedCitation":"(Gabada et al., 2021)","plainTextFormattedCitation":"(Gabada et al., 2021)","previouslyFormattedCitation":"(Gabada et al., 2021)"},"properties":{"noteIndex":0},"schema":"https://github.com/citation-style-language/schema/raw/master/csl-citation.json"}</w:instrText>
      </w:r>
      <w:r w:rsidR="007A68E5">
        <w:rPr>
          <w:iCs/>
        </w:rPr>
        <w:fldChar w:fldCharType="separate"/>
      </w:r>
      <w:r w:rsidR="007A68E5" w:rsidRPr="007A68E5">
        <w:rPr>
          <w:iCs/>
          <w:noProof/>
        </w:rPr>
        <w:t>(Gabada et al., 2021)</w:t>
      </w:r>
      <w:r w:rsidR="007A68E5">
        <w:rPr>
          <w:iCs/>
        </w:rPr>
        <w:fldChar w:fldCharType="end"/>
      </w:r>
      <w:r w:rsidR="007A68E5">
        <w:rPr>
          <w:iCs/>
        </w:rPr>
        <w:t>.</w:t>
      </w:r>
      <w:r w:rsidRPr="00A124AF">
        <w:rPr>
          <w:iCs/>
        </w:rPr>
        <w:t xml:space="preserve"> Moreover, early physiotherapy can prevent muscle contracture or permanent shortening of the muscle cell and improve the overall quality of life by </w:t>
      </w:r>
      <w:r w:rsidRPr="00A124AF">
        <w:rPr>
          <w:iCs/>
        </w:rPr>
        <w:lastRenderedPageBreak/>
        <w:t xml:space="preserve">supporting cellular signal transport and growth factor expression. In a study on animal subjects, early mobilization increased growth factors such as insulin-like growth factor </w:t>
      </w:r>
      <w:r w:rsidR="007A68E5">
        <w:rPr>
          <w:iCs/>
        </w:rPr>
        <w:t xml:space="preserve">1 level and axon regeneration </w:t>
      </w:r>
      <w:r w:rsidR="007A68E5">
        <w:rPr>
          <w:iCs/>
        </w:rPr>
        <w:fldChar w:fldCharType="begin" w:fldLock="1"/>
      </w:r>
      <w:r w:rsidR="007A68E5">
        <w:rPr>
          <w:iCs/>
        </w:rPr>
        <w:instrText>ADDIN CSL_CITATION {"citationItems":[{"id":"ITEM-1","itemData":{"author":[{"dropping-particle":"","family":"Badhiwala","given":"Jetan H","non-dropping-particle":"","parse-names":false,"suffix":""},{"dropping-particle":"","family":"Ahuja","given":"Christopher S","non-dropping-particle":"","parse-names":false,"suffix":""},{"dropping-particle":"","family":"Fehlings","given":"Michael G","non-dropping-particle":"","parse-names":false,"suffix":""}],"container-title":"Journal of Neurosurgery: Spine","id":"ITEM-1","issue":"1","issued":{"date-parts":[["2018"]]},"page":"1-18","publisher":"American Association of Neurological Surgeons","title":"Time is spine: a review of translational advances in spinal cord injury: JNSPG 75th Anniversary Invited Review Article","type":"article-journal","volume":"30"},"uris":["http://www.mendeley.com/documents/?uuid=a58fba96-85fb-44ef-9456-3db924632880"]}],"mendeley":{"formattedCitation":"(Badhiwala et al., 2018)","plainTextFormattedCitation":"(Badhiwala et al., 2018)","previouslyFormattedCitation":"(Badhiwala et al., 2018)"},"properties":{"noteIndex":0},"schema":"https://github.com/citation-style-language/schema/raw/master/csl-citation.json"}</w:instrText>
      </w:r>
      <w:r w:rsidR="007A68E5">
        <w:rPr>
          <w:iCs/>
        </w:rPr>
        <w:fldChar w:fldCharType="separate"/>
      </w:r>
      <w:r w:rsidR="007A68E5" w:rsidRPr="007A68E5">
        <w:rPr>
          <w:iCs/>
          <w:noProof/>
        </w:rPr>
        <w:t>(Badhiwala et al., 2018)</w:t>
      </w:r>
      <w:r w:rsidR="007A68E5">
        <w:rPr>
          <w:iCs/>
        </w:rPr>
        <w:fldChar w:fldCharType="end"/>
      </w:r>
      <w:r w:rsidR="007A68E5">
        <w:rPr>
          <w:iCs/>
        </w:rPr>
        <w:t>.</w:t>
      </w:r>
      <w:r w:rsidRPr="00A124AF">
        <w:rPr>
          <w:iCs/>
        </w:rPr>
        <w:t xml:space="preserve"> There has yet a study that explored the effectiveness of y in cervical trauma cases. Still, it has been proven effective in the reported patient cause after three months of operation and constant physiotherapy, the patient managed to perform daily activities independently</w:t>
      </w:r>
    </w:p>
    <w:p w:rsidR="005A7286" w:rsidRDefault="005A7286" w:rsidP="005A7286">
      <w:pPr>
        <w:spacing w:line="276" w:lineRule="auto"/>
        <w:ind w:leftChars="0" w:left="0" w:firstLineChars="0" w:firstLine="0"/>
        <w:contextualSpacing/>
        <w:jc w:val="both"/>
        <w:rPr>
          <w:iCs/>
        </w:rPr>
      </w:pPr>
    </w:p>
    <w:p w:rsidR="006C7B64" w:rsidRDefault="00F22B37" w:rsidP="005A7286">
      <w:pPr>
        <w:spacing w:line="276" w:lineRule="auto"/>
        <w:ind w:leftChars="0" w:left="0" w:firstLineChars="0" w:firstLine="0"/>
        <w:contextualSpacing/>
        <w:jc w:val="both"/>
        <w:rPr>
          <w:rFonts w:eastAsia="Tahoma"/>
          <w:b/>
        </w:rPr>
      </w:pPr>
      <w:r w:rsidRPr="006C7B64">
        <w:rPr>
          <w:rFonts w:eastAsia="Tahoma"/>
          <w:b/>
        </w:rPr>
        <w:t>CONCLUSION</w:t>
      </w:r>
    </w:p>
    <w:p w:rsidR="005A7286" w:rsidRDefault="00A124AF" w:rsidP="00C01365">
      <w:pPr>
        <w:spacing w:line="276" w:lineRule="auto"/>
        <w:ind w:left="-2" w:firstLineChars="295" w:firstLine="708"/>
        <w:jc w:val="both"/>
        <w:rPr>
          <w:lang w:val="en-ID"/>
        </w:rPr>
      </w:pPr>
      <w:r w:rsidRPr="00A124AF">
        <w:rPr>
          <w:lang w:val="en-ID"/>
        </w:rPr>
        <w:t>A dislocation fracture caused spinal cord compression in this patient. A retropulsion fragment fracture can be displaced into the spinal canal and potentially cause more spinal cord injury. Displacement towards the anterior horn will cause motoric dysfunction. Dislocation fracture on C2/3 hinders neurotransmitter impulse transport, causing total paralysis on all four extremities without sensory dysfunction. A temporary external stabilization around the neck area was needed in this patient. Along with the therapy principle, the approach in this patient is decompression of the affected spinal cord and internal fixation using a pedicle screw for fracture stabilization</w:t>
      </w:r>
      <w:r w:rsidR="00F22B37">
        <w:rPr>
          <w:lang w:val="en-ID"/>
        </w:rPr>
        <w:t>.</w:t>
      </w:r>
    </w:p>
    <w:p w:rsidR="00733C4C" w:rsidRPr="00C01365" w:rsidRDefault="00733C4C" w:rsidP="00C01365">
      <w:pPr>
        <w:spacing w:line="276" w:lineRule="auto"/>
        <w:ind w:left="-2" w:firstLineChars="295" w:firstLine="708"/>
        <w:jc w:val="both"/>
        <w:rPr>
          <w:lang w:val="en-ID"/>
        </w:rPr>
      </w:pPr>
    </w:p>
    <w:p w:rsidR="003A2E1A" w:rsidRDefault="00F22B37" w:rsidP="00FF01EF">
      <w:pPr>
        <w:spacing w:line="276" w:lineRule="auto"/>
        <w:ind w:left="0" w:hanging="2"/>
        <w:jc w:val="center"/>
        <w:rPr>
          <w:rFonts w:eastAsia="Tahoma"/>
          <w:b/>
          <w:smallCaps/>
        </w:rPr>
      </w:pPr>
      <w:r w:rsidRPr="00733C4C">
        <w:rPr>
          <w:rFonts w:eastAsia="Tahoma"/>
          <w:b/>
          <w:smallCaps/>
        </w:rPr>
        <w:t>BIBLIOGRAFI</w:t>
      </w:r>
    </w:p>
    <w:p w:rsidR="007A68E5" w:rsidRPr="007A68E5" w:rsidRDefault="007A68E5" w:rsidP="007A68E5">
      <w:pPr>
        <w:widowControl w:val="0"/>
        <w:autoSpaceDE w:val="0"/>
        <w:autoSpaceDN w:val="0"/>
        <w:adjustRightInd w:val="0"/>
        <w:spacing w:line="240" w:lineRule="auto"/>
        <w:ind w:leftChars="0" w:left="571" w:hangingChars="237" w:hanging="571"/>
        <w:jc w:val="both"/>
        <w:rPr>
          <w:noProof/>
        </w:rPr>
      </w:pPr>
      <w:r>
        <w:rPr>
          <w:rFonts w:eastAsia="Tahoma"/>
          <w:b/>
          <w:smallCaps/>
        </w:rPr>
        <w:fldChar w:fldCharType="begin" w:fldLock="1"/>
      </w:r>
      <w:r>
        <w:rPr>
          <w:rFonts w:eastAsia="Tahoma"/>
          <w:b/>
          <w:smallCaps/>
        </w:rPr>
        <w:instrText xml:space="preserve">ADDIN Mendeley Bibliography CSL_BIBLIOGRAPHY </w:instrText>
      </w:r>
      <w:r>
        <w:rPr>
          <w:rFonts w:eastAsia="Tahoma"/>
          <w:b/>
          <w:smallCaps/>
        </w:rPr>
        <w:fldChar w:fldCharType="separate"/>
      </w:r>
      <w:r w:rsidRPr="007A68E5">
        <w:rPr>
          <w:noProof/>
        </w:rPr>
        <w:t xml:space="preserve">Abdelgawaad, A. S., Metry, A. B. S., Elnady, B., &amp; Sheriff, E. El. (2021). </w:t>
      </w:r>
      <w:r w:rsidRPr="007A68E5">
        <w:rPr>
          <w:i/>
          <w:iCs/>
          <w:noProof/>
        </w:rPr>
        <w:t>Anterior Cervical Reduction Decompression Fusion With Plating for Management of Traumatic Subaxial Cervical Spine Dislocations</w:t>
      </w:r>
      <w:r w:rsidRPr="007A68E5">
        <w:rPr>
          <w:noProof/>
        </w:rPr>
        <w:t xml:space="preserve">. </w:t>
      </w:r>
      <w:r w:rsidRPr="007A68E5">
        <w:rPr>
          <w:i/>
          <w:iCs/>
          <w:noProof/>
        </w:rPr>
        <w:t>11</w:t>
      </w:r>
      <w:r w:rsidRPr="007A68E5">
        <w:rPr>
          <w:noProof/>
        </w:rPr>
        <w:t>(3), 312–320. https://doi.org/10.1177/2192568220903741</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Alexander, H., Dowlati, E., McGowan, J. E., Mason, R. B., &amp; Anaizi, A. (2019). C2–C3 spinal fracture subluxation with ligamentous and vascular injury: a case report and review of management. </w:t>
      </w:r>
      <w:r w:rsidRPr="007A68E5">
        <w:rPr>
          <w:i/>
          <w:iCs/>
          <w:noProof/>
        </w:rPr>
        <w:t>Spinal Cord Series and Cases</w:t>
      </w:r>
      <w:r w:rsidRPr="007A68E5">
        <w:rPr>
          <w:noProof/>
        </w:rPr>
        <w:t xml:space="preserve">, </w:t>
      </w:r>
      <w:r w:rsidRPr="007A68E5">
        <w:rPr>
          <w:i/>
          <w:iCs/>
          <w:noProof/>
        </w:rPr>
        <w:t>5</w:t>
      </w:r>
      <w:r w:rsidRPr="007A68E5">
        <w:rPr>
          <w:noProof/>
        </w:rPr>
        <w:t>(1), 4.</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Alizadeh, A., Dyck, S. M., &amp; Karimi-Abdolrezaee, S. (2019). Traumatic spinal cord injury: an overview of pathophysiology, models and acute injury mechanisms. </w:t>
      </w:r>
      <w:r w:rsidRPr="007A68E5">
        <w:rPr>
          <w:i/>
          <w:iCs/>
          <w:noProof/>
        </w:rPr>
        <w:t>Frontiers in Neurology</w:t>
      </w:r>
      <w:r w:rsidRPr="007A68E5">
        <w:rPr>
          <w:noProof/>
        </w:rPr>
        <w:t xml:space="preserve">, </w:t>
      </w:r>
      <w:r w:rsidRPr="007A68E5">
        <w:rPr>
          <w:i/>
          <w:iCs/>
          <w:noProof/>
        </w:rPr>
        <w:t>10</w:t>
      </w:r>
      <w:r w:rsidRPr="007A68E5">
        <w:rPr>
          <w:noProof/>
        </w:rPr>
        <w:t>, 282.</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Alkadeem, R. M. D. E. A. A., El-Shafey, M. H. R., Eldein, A. E. M. S., &amp; Nagy, H. A. (2021). Magnetic resonance diffusion tensor imaging of acute spinal cord injury in spinal trauma. </w:t>
      </w:r>
      <w:r w:rsidRPr="007A68E5">
        <w:rPr>
          <w:i/>
          <w:iCs/>
          <w:noProof/>
        </w:rPr>
        <w:t>Egyptian Journal of Radiology and Nuclear Medicine</w:t>
      </w:r>
      <w:r w:rsidRPr="007A68E5">
        <w:rPr>
          <w:noProof/>
        </w:rPr>
        <w:t xml:space="preserve">, </w:t>
      </w:r>
      <w:r w:rsidRPr="007A68E5">
        <w:rPr>
          <w:i/>
          <w:iCs/>
          <w:noProof/>
        </w:rPr>
        <w:t>52</w:t>
      </w:r>
      <w:r w:rsidRPr="007A68E5">
        <w:rPr>
          <w:noProof/>
        </w:rPr>
        <w:t>(1), 1–13.</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Badhiwala, J. H., Ahuja, C. S., &amp; Fehlings, M. G. (2018). Time is spine: a review of translational advances in spinal cord injury: JNSPG 75th Anniversary Invited Review Article. </w:t>
      </w:r>
      <w:r w:rsidRPr="007A68E5">
        <w:rPr>
          <w:i/>
          <w:iCs/>
          <w:noProof/>
        </w:rPr>
        <w:t>Journal of Neurosurgery: Spine</w:t>
      </w:r>
      <w:r w:rsidRPr="007A68E5">
        <w:rPr>
          <w:noProof/>
        </w:rPr>
        <w:t xml:space="preserve">, </w:t>
      </w:r>
      <w:r w:rsidRPr="007A68E5">
        <w:rPr>
          <w:i/>
          <w:iCs/>
          <w:noProof/>
        </w:rPr>
        <w:t>30</w:t>
      </w:r>
      <w:r w:rsidRPr="007A68E5">
        <w:rPr>
          <w:noProof/>
        </w:rPr>
        <w:t>(1), 1–18.</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Beeharry, M. W., Moqeem, K., &amp; Rohilla, M. U. (2021). Management of cervical spine fractures: a literature review. </w:t>
      </w:r>
      <w:r w:rsidRPr="007A68E5">
        <w:rPr>
          <w:i/>
          <w:iCs/>
          <w:noProof/>
        </w:rPr>
        <w:t>Cureus</w:t>
      </w:r>
      <w:r w:rsidRPr="007A68E5">
        <w:rPr>
          <w:noProof/>
        </w:rPr>
        <w:t xml:space="preserve">, </w:t>
      </w:r>
      <w:r w:rsidRPr="007A68E5">
        <w:rPr>
          <w:i/>
          <w:iCs/>
          <w:noProof/>
        </w:rPr>
        <w:t>13</w:t>
      </w:r>
      <w:r w:rsidRPr="007A68E5">
        <w:rPr>
          <w:noProof/>
        </w:rPr>
        <w:t>(4).</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Gabada, R. H., Kasatwar, P., &amp; Kulkarni, C. A. (2021). </w:t>
      </w:r>
      <w:r w:rsidRPr="007A68E5">
        <w:rPr>
          <w:i/>
          <w:iCs/>
          <w:noProof/>
        </w:rPr>
        <w:t>Rehabilitation Strategies in Management of Complex Case of Cervical Burst Fracture- A Case Report</w:t>
      </w:r>
      <w:r w:rsidRPr="007A68E5">
        <w:rPr>
          <w:noProof/>
        </w:rPr>
        <w:t xml:space="preserve">. </w:t>
      </w:r>
      <w:r w:rsidRPr="007A68E5">
        <w:rPr>
          <w:i/>
          <w:iCs/>
          <w:noProof/>
        </w:rPr>
        <w:t>33</w:t>
      </w:r>
      <w:r w:rsidRPr="007A68E5">
        <w:rPr>
          <w:noProof/>
        </w:rPr>
        <w:t>, 205–208. https://doi.org/10.9734/JPRI/2021/v33i59A34265</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Guest, J., Datta, N., Jimsheleishvili, G., &amp; Gater, D. R. (2022). </w:t>
      </w:r>
      <w:r w:rsidRPr="007A68E5">
        <w:rPr>
          <w:i/>
          <w:iCs/>
          <w:noProof/>
        </w:rPr>
        <w:t>Pathophysiology , Classification and Comorbidities after Traumatic Spinal Cord Injury</w:t>
      </w:r>
      <w:r w:rsidRPr="007A68E5">
        <w:rPr>
          <w:noProof/>
        </w:rPr>
        <w:t>.</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Investigation, O. (2021). </w:t>
      </w:r>
      <w:r w:rsidRPr="007A68E5">
        <w:rPr>
          <w:i/>
          <w:iCs/>
          <w:noProof/>
        </w:rPr>
        <w:t xml:space="preserve">Effect of Early vs Delayed Surgical Treatment on Motor Recovery in Incomplete Cervical Spinal Cord Injury With Preexisting Cervical </w:t>
      </w:r>
      <w:r w:rsidRPr="007A68E5">
        <w:rPr>
          <w:i/>
          <w:iCs/>
          <w:noProof/>
        </w:rPr>
        <w:lastRenderedPageBreak/>
        <w:t>Stenosis A Randomized Clinical Trial</w:t>
      </w:r>
      <w:r w:rsidRPr="007A68E5">
        <w:rPr>
          <w:noProof/>
        </w:rPr>
        <w:t xml:space="preserve">. </w:t>
      </w:r>
      <w:r w:rsidRPr="007A68E5">
        <w:rPr>
          <w:i/>
          <w:iCs/>
          <w:noProof/>
        </w:rPr>
        <w:t>4</w:t>
      </w:r>
      <w:r w:rsidRPr="007A68E5">
        <w:rPr>
          <w:noProof/>
        </w:rPr>
        <w:t>(11), 1–13. https://doi.org/10.1001/jamanetworkopen.2021.33604</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Jung, Y. G., Lee, S., Jeong, S. K., Kim, M., &amp; Park, J. H. (2020). Subaxial cervical pedicle screw in traumatic spinal surgery. </w:t>
      </w:r>
      <w:r w:rsidRPr="007A68E5">
        <w:rPr>
          <w:i/>
          <w:iCs/>
          <w:noProof/>
        </w:rPr>
        <w:t>Korean Journal of Neurotrauma</w:t>
      </w:r>
      <w:r w:rsidRPr="007A68E5">
        <w:rPr>
          <w:noProof/>
        </w:rPr>
        <w:t xml:space="preserve">, </w:t>
      </w:r>
      <w:r w:rsidRPr="007A68E5">
        <w:rPr>
          <w:i/>
          <w:iCs/>
          <w:noProof/>
        </w:rPr>
        <w:t>16</w:t>
      </w:r>
      <w:r w:rsidRPr="007A68E5">
        <w:rPr>
          <w:noProof/>
        </w:rPr>
        <w:t>(1), 18.</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Kalafat, U., Akman, C., &amp; Topacoglu, H. (2016). Complete dislocation at the level of C2-C3 vertebra with vertebral artery rupture in a multitrauma patient. </w:t>
      </w:r>
      <w:r w:rsidRPr="007A68E5">
        <w:rPr>
          <w:i/>
          <w:iCs/>
          <w:noProof/>
        </w:rPr>
        <w:t>Int J Med Sci Public Health</w:t>
      </w:r>
      <w:r w:rsidRPr="007A68E5">
        <w:rPr>
          <w:noProof/>
        </w:rPr>
        <w:t xml:space="preserve">, </w:t>
      </w:r>
      <w:r w:rsidRPr="007A68E5">
        <w:rPr>
          <w:i/>
          <w:iCs/>
          <w:noProof/>
        </w:rPr>
        <w:t>5</w:t>
      </w:r>
      <w:r w:rsidRPr="007A68E5">
        <w:rPr>
          <w:noProof/>
        </w:rPr>
        <w:t>, 590–592.</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Kiessling, J. W., Whitney, E., Fiani, B., Khan, Y. R., &amp; Mahato, D. (2019). C2-3 fracture dislocation and bilateral vertebral artery occlusion without neurological injury: a case report. </w:t>
      </w:r>
      <w:r w:rsidRPr="007A68E5">
        <w:rPr>
          <w:i/>
          <w:iCs/>
          <w:noProof/>
        </w:rPr>
        <w:t>Cureus</w:t>
      </w:r>
      <w:r w:rsidRPr="007A68E5">
        <w:rPr>
          <w:noProof/>
        </w:rPr>
        <w:t xml:space="preserve">, </w:t>
      </w:r>
      <w:r w:rsidRPr="007A68E5">
        <w:rPr>
          <w:i/>
          <w:iCs/>
          <w:noProof/>
        </w:rPr>
        <w:t>11</w:t>
      </w:r>
      <w:r w:rsidRPr="007A68E5">
        <w:rPr>
          <w:noProof/>
        </w:rPr>
        <w:t>(8).</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Kumar, Y., &amp; Hayashi, D. (2016). Role of magnetic resonance imaging in acute spinal trauma: a pictorial review. </w:t>
      </w:r>
      <w:r w:rsidRPr="007A68E5">
        <w:rPr>
          <w:i/>
          <w:iCs/>
          <w:noProof/>
        </w:rPr>
        <w:t>BMC Musculoskeletal Disorders</w:t>
      </w:r>
      <w:r w:rsidRPr="007A68E5">
        <w:rPr>
          <w:noProof/>
        </w:rPr>
        <w:t xml:space="preserve">, </w:t>
      </w:r>
      <w:r w:rsidRPr="007A68E5">
        <w:rPr>
          <w:i/>
          <w:iCs/>
          <w:noProof/>
        </w:rPr>
        <w:t>17</w:t>
      </w:r>
      <w:r w:rsidRPr="007A68E5">
        <w:rPr>
          <w:noProof/>
        </w:rPr>
        <w:t>(1), 1–11.</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Louis, R., &amp; Richards, A. (2018). </w:t>
      </w:r>
      <w:r w:rsidRPr="007A68E5">
        <w:rPr>
          <w:i/>
          <w:iCs/>
          <w:noProof/>
        </w:rPr>
        <w:t>TREASURE ISLAND.</w:t>
      </w:r>
      <w:r w:rsidRPr="007A68E5">
        <w:rPr>
          <w:noProof/>
        </w:rPr>
        <w:t xml:space="preserve"> B JAIN Publishers PVT Limited.</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Mattiassich, G., Gollwitzer, M., Gaderer, F., Blocher, M., Osti, M., Lill, M., Ortmaier, R., Haider, T., Hitzl, W., &amp; Resch, H. (2017). Functional outcomes in individuals undergoing very early (&lt; 5 h) and early (5–24 h) surgical decompression in traumatic cervical spinal cord injury: analysis of neurological improvement from the Austrian Spinal Cord Injury Study. </w:t>
      </w:r>
      <w:r w:rsidRPr="007A68E5">
        <w:rPr>
          <w:i/>
          <w:iCs/>
          <w:noProof/>
        </w:rPr>
        <w:t>Journal of Neurotrauma</w:t>
      </w:r>
      <w:r w:rsidRPr="007A68E5">
        <w:rPr>
          <w:noProof/>
        </w:rPr>
        <w:t xml:space="preserve">, </w:t>
      </w:r>
      <w:r w:rsidRPr="007A68E5">
        <w:rPr>
          <w:i/>
          <w:iCs/>
          <w:noProof/>
        </w:rPr>
        <w:t>34</w:t>
      </w:r>
      <w:r w:rsidRPr="007A68E5">
        <w:rPr>
          <w:noProof/>
        </w:rPr>
        <w:t>(24), 3362–3371.</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Mehdar, K. M., Mahjari, A. A., Al Rashah, A. A., Alyazidi, A., &amp; Mahjri, A. A. (2019). Epidemiology of spinal cord injuries and their outcomes: a retrospective study at the King Khalid Hospital. </w:t>
      </w:r>
      <w:r w:rsidRPr="007A68E5">
        <w:rPr>
          <w:i/>
          <w:iCs/>
          <w:noProof/>
        </w:rPr>
        <w:t>Cureus Journal of Medical Science</w:t>
      </w:r>
      <w:r w:rsidRPr="007A68E5">
        <w:rPr>
          <w:noProof/>
        </w:rPr>
        <w:t xml:space="preserve">, </w:t>
      </w:r>
      <w:r w:rsidRPr="007A68E5">
        <w:rPr>
          <w:i/>
          <w:iCs/>
          <w:noProof/>
        </w:rPr>
        <w:t>11</w:t>
      </w:r>
      <w:r w:rsidRPr="007A68E5">
        <w:rPr>
          <w:noProof/>
        </w:rPr>
        <w:t>(12).</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Otsuka, T., Maeda, Y., Kurose, T., Nakagawa, K., Mitsuhara, T., Kawahara, Y., &amp; Yuge, L. (2021). Comparisons of neurotrophic effects of mesenchymal stem cells derived from different tissues on chronic spinal cord injury rats. </w:t>
      </w:r>
      <w:r w:rsidRPr="007A68E5">
        <w:rPr>
          <w:i/>
          <w:iCs/>
          <w:noProof/>
        </w:rPr>
        <w:t>Stem Cells and Development</w:t>
      </w:r>
      <w:r w:rsidRPr="007A68E5">
        <w:rPr>
          <w:noProof/>
        </w:rPr>
        <w:t xml:space="preserve">, </w:t>
      </w:r>
      <w:r w:rsidRPr="007A68E5">
        <w:rPr>
          <w:i/>
          <w:iCs/>
          <w:noProof/>
        </w:rPr>
        <w:t>30</w:t>
      </w:r>
      <w:r w:rsidRPr="007A68E5">
        <w:rPr>
          <w:noProof/>
        </w:rPr>
        <w:t>(17), 865–875.</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Rutges, J. P. H. J., Kwon, B. K., Heran, M., Ailon, T., Street, J. T., &amp; Dvorak, M. F. (2017). A prospective serial MRI study following acute traumatic cervical spinal cord injury. </w:t>
      </w:r>
      <w:r w:rsidRPr="007A68E5">
        <w:rPr>
          <w:i/>
          <w:iCs/>
          <w:noProof/>
        </w:rPr>
        <w:t>European Spine Journal</w:t>
      </w:r>
      <w:r w:rsidRPr="007A68E5">
        <w:rPr>
          <w:noProof/>
        </w:rPr>
        <w:t xml:space="preserve">, </w:t>
      </w:r>
      <w:r w:rsidRPr="007A68E5">
        <w:rPr>
          <w:i/>
          <w:iCs/>
          <w:noProof/>
        </w:rPr>
        <w:t>26</w:t>
      </w:r>
      <w:r w:rsidRPr="007A68E5">
        <w:rPr>
          <w:noProof/>
        </w:rPr>
        <w:t>, 2324–2332.</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Tindle, J., &amp; Tadi, P. (2022). Neuroanatomy, parasympathetic nervous system. In </w:t>
      </w:r>
      <w:r w:rsidRPr="007A68E5">
        <w:rPr>
          <w:i/>
          <w:iCs/>
          <w:noProof/>
        </w:rPr>
        <w:t>StatPearls [Internet]</w:t>
      </w:r>
      <w:r w:rsidRPr="007A68E5">
        <w:rPr>
          <w:noProof/>
        </w:rPr>
        <w:t>. StatPearls Publishing.</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Wu, X., Song, Q., Jin, P., &amp; Liu, B. (2022). </w:t>
      </w:r>
      <w:r w:rsidRPr="007A68E5">
        <w:rPr>
          <w:i/>
          <w:iCs/>
          <w:noProof/>
        </w:rPr>
        <w:t>Outcomes of Patients with Cervical Spinal Cord Injury Treated by Surgery and Their Prognostic Factors</w:t>
      </w:r>
      <w:r w:rsidRPr="007A68E5">
        <w:rPr>
          <w:noProof/>
        </w:rPr>
        <w:t xml:space="preserve">. </w:t>
      </w:r>
      <w:r w:rsidRPr="007A68E5">
        <w:rPr>
          <w:i/>
          <w:iCs/>
          <w:noProof/>
        </w:rPr>
        <w:t>2022</w:t>
      </w:r>
      <w:r w:rsidRPr="007A68E5">
        <w:rPr>
          <w:noProof/>
        </w:rPr>
        <w:t>(January 2017).</w:t>
      </w:r>
    </w:p>
    <w:p w:rsidR="007A68E5" w:rsidRPr="007A68E5" w:rsidRDefault="007A68E5" w:rsidP="007A68E5">
      <w:pPr>
        <w:widowControl w:val="0"/>
        <w:autoSpaceDE w:val="0"/>
        <w:autoSpaceDN w:val="0"/>
        <w:adjustRightInd w:val="0"/>
        <w:spacing w:line="240" w:lineRule="auto"/>
        <w:ind w:leftChars="0" w:left="569" w:hangingChars="237" w:hanging="569"/>
        <w:jc w:val="both"/>
        <w:rPr>
          <w:noProof/>
        </w:rPr>
      </w:pPr>
      <w:r w:rsidRPr="007A68E5">
        <w:rPr>
          <w:noProof/>
        </w:rPr>
        <w:t xml:space="preserve">Zeng, J., Jiang, H., Zhuo, Y., Xu, Y., &amp; Deng, Z. (2022). A case report on a child with fracture and dislocation of the upper cervical spine accompanied by spinal cord injury. </w:t>
      </w:r>
      <w:r w:rsidRPr="007A68E5">
        <w:rPr>
          <w:i/>
          <w:iCs/>
          <w:noProof/>
        </w:rPr>
        <w:t>Medicine</w:t>
      </w:r>
      <w:r w:rsidRPr="007A68E5">
        <w:rPr>
          <w:noProof/>
        </w:rPr>
        <w:t xml:space="preserve">, </w:t>
      </w:r>
      <w:r w:rsidRPr="007A68E5">
        <w:rPr>
          <w:i/>
          <w:iCs/>
          <w:noProof/>
        </w:rPr>
        <w:t>101</w:t>
      </w:r>
      <w:r w:rsidRPr="007A68E5">
        <w:rPr>
          <w:noProof/>
        </w:rPr>
        <w:t>(30).</w:t>
      </w:r>
    </w:p>
    <w:p w:rsidR="00733C4C" w:rsidRPr="007A68E5" w:rsidRDefault="007A68E5" w:rsidP="007A68E5">
      <w:pPr>
        <w:spacing w:line="276" w:lineRule="auto"/>
        <w:ind w:leftChars="0" w:left="571" w:hangingChars="237" w:hanging="571"/>
        <w:jc w:val="both"/>
        <w:rPr>
          <w:rFonts w:eastAsia="Tahoma"/>
          <w:b/>
          <w:smallCaps/>
        </w:rPr>
      </w:pPr>
      <w:r>
        <w:rPr>
          <w:rFonts w:eastAsia="Tahoma"/>
          <w:b/>
          <w:smallCaps/>
        </w:rPr>
        <w:fldChar w:fldCharType="end"/>
      </w:r>
    </w:p>
    <w:p w:rsidR="003A2E1A" w:rsidRPr="00733C4C" w:rsidRDefault="003A2E1A" w:rsidP="00733C4C">
      <w:pPr>
        <w:ind w:left="567" w:hangingChars="237" w:hanging="569"/>
        <w:jc w:val="both"/>
      </w:pPr>
    </w:p>
    <w:tbl>
      <w:tblPr>
        <w:tblW w:w="8647" w:type="dxa"/>
        <w:tblBorders>
          <w:top w:val="single" w:sz="18" w:space="0" w:color="70AD47"/>
        </w:tblBorders>
        <w:tblLayout w:type="fixed"/>
        <w:tblLook w:val="0400" w:firstRow="0" w:lastRow="0" w:firstColumn="0" w:lastColumn="0" w:noHBand="0" w:noVBand="1"/>
      </w:tblPr>
      <w:tblGrid>
        <w:gridCol w:w="8647"/>
      </w:tblGrid>
      <w:tr w:rsidR="00290BB3" w:rsidTr="00FB2886">
        <w:trPr>
          <w:trHeight w:val="19"/>
        </w:trPr>
        <w:tc>
          <w:tcPr>
            <w:tcW w:w="8647" w:type="dxa"/>
            <w:shd w:val="clear" w:color="auto" w:fill="auto"/>
          </w:tcPr>
          <w:p w:rsidR="008508C8" w:rsidRPr="00E40525" w:rsidRDefault="00F22B37" w:rsidP="00D13FF5">
            <w:pPr>
              <w:ind w:leftChars="-44" w:left="-104" w:right="-393" w:hanging="2"/>
              <w:jc w:val="center"/>
              <w:rPr>
                <w:b/>
              </w:rPr>
            </w:pPr>
            <w:r w:rsidRPr="00E40525">
              <w:rPr>
                <w:b/>
              </w:rPr>
              <w:t>Copyright holder:</w:t>
            </w:r>
          </w:p>
          <w:p w:rsidR="008508C8" w:rsidRPr="00287628" w:rsidRDefault="00A124AF" w:rsidP="00AB6D32">
            <w:pPr>
              <w:spacing w:line="240" w:lineRule="auto"/>
              <w:ind w:leftChars="-44" w:left="-104" w:hanging="2"/>
              <w:jc w:val="center"/>
              <w:rPr>
                <w:rFonts w:eastAsia="Tahoma"/>
                <w:bCs/>
                <w:color w:val="000000" w:themeColor="text1"/>
              </w:rPr>
            </w:pPr>
            <w:bookmarkStart w:id="2" w:name="_heading=h.30j0zll" w:colFirst="0" w:colLast="0"/>
            <w:bookmarkEnd w:id="2"/>
            <w:proofErr w:type="spellStart"/>
            <w:r w:rsidRPr="00A124AF">
              <w:rPr>
                <w:rFonts w:eastAsia="Tahoma"/>
                <w:bCs/>
                <w:color w:val="000000" w:themeColor="text1"/>
              </w:rPr>
              <w:t>Teuku</w:t>
            </w:r>
            <w:proofErr w:type="spellEnd"/>
            <w:r w:rsidRPr="00A124AF">
              <w:rPr>
                <w:rFonts w:eastAsia="Tahoma"/>
                <w:bCs/>
                <w:color w:val="000000" w:themeColor="text1"/>
              </w:rPr>
              <w:t xml:space="preserve"> </w:t>
            </w:r>
            <w:proofErr w:type="spellStart"/>
            <w:r w:rsidRPr="00A124AF">
              <w:rPr>
                <w:rFonts w:eastAsia="Tahoma"/>
                <w:bCs/>
                <w:color w:val="000000" w:themeColor="text1"/>
              </w:rPr>
              <w:t>Nanta</w:t>
            </w:r>
            <w:proofErr w:type="spellEnd"/>
            <w:r w:rsidRPr="00A124AF">
              <w:rPr>
                <w:rFonts w:eastAsia="Tahoma"/>
                <w:bCs/>
                <w:color w:val="000000" w:themeColor="text1"/>
              </w:rPr>
              <w:t xml:space="preserve"> </w:t>
            </w:r>
            <w:proofErr w:type="spellStart"/>
            <w:r w:rsidRPr="00A124AF">
              <w:rPr>
                <w:rFonts w:eastAsia="Tahoma"/>
                <w:bCs/>
                <w:color w:val="000000" w:themeColor="text1"/>
              </w:rPr>
              <w:t>Aulia</w:t>
            </w:r>
            <w:proofErr w:type="spellEnd"/>
            <w:r w:rsidRPr="00A124AF">
              <w:rPr>
                <w:rFonts w:eastAsia="Tahoma"/>
                <w:bCs/>
                <w:color w:val="000000" w:themeColor="text1"/>
              </w:rPr>
              <w:t xml:space="preserve">, Muhammad Iqbal, </w:t>
            </w:r>
            <w:proofErr w:type="spellStart"/>
            <w:proofErr w:type="gramStart"/>
            <w:r w:rsidRPr="00A124AF">
              <w:rPr>
                <w:rFonts w:eastAsia="Tahoma"/>
                <w:bCs/>
                <w:color w:val="000000" w:themeColor="text1"/>
              </w:rPr>
              <w:t>M.irfan</w:t>
            </w:r>
            <w:proofErr w:type="spellEnd"/>
            <w:proofErr w:type="gramEnd"/>
            <w:r w:rsidRPr="00A124AF">
              <w:rPr>
                <w:rFonts w:eastAsia="Tahoma"/>
                <w:bCs/>
                <w:color w:val="000000" w:themeColor="text1"/>
              </w:rPr>
              <w:t xml:space="preserve"> </w:t>
            </w:r>
            <w:proofErr w:type="spellStart"/>
            <w:r w:rsidRPr="00A124AF">
              <w:rPr>
                <w:rFonts w:eastAsia="Tahoma"/>
                <w:bCs/>
                <w:color w:val="000000" w:themeColor="text1"/>
              </w:rPr>
              <w:t>Guranda</w:t>
            </w:r>
            <w:proofErr w:type="spellEnd"/>
            <w:r w:rsidRPr="00A124AF">
              <w:rPr>
                <w:rFonts w:eastAsia="Tahoma"/>
                <w:bCs/>
                <w:color w:val="000000" w:themeColor="text1"/>
              </w:rPr>
              <w:t xml:space="preserve"> </w:t>
            </w:r>
            <w:r w:rsidR="003641CB" w:rsidRPr="00287628">
              <w:rPr>
                <w:color w:val="000000" w:themeColor="text1"/>
              </w:rPr>
              <w:t>(2023)</w:t>
            </w:r>
          </w:p>
          <w:p w:rsidR="008508C8" w:rsidRPr="00E40525" w:rsidRDefault="008508C8" w:rsidP="00D13FF5">
            <w:pPr>
              <w:ind w:leftChars="-44" w:left="-104" w:right="-393" w:hanging="2"/>
              <w:jc w:val="center"/>
            </w:pPr>
          </w:p>
        </w:tc>
      </w:tr>
      <w:tr w:rsidR="00290BB3" w:rsidTr="00FB2886">
        <w:trPr>
          <w:trHeight w:val="19"/>
        </w:trPr>
        <w:tc>
          <w:tcPr>
            <w:tcW w:w="8647" w:type="dxa"/>
            <w:shd w:val="clear" w:color="auto" w:fill="auto"/>
          </w:tcPr>
          <w:p w:rsidR="008508C8" w:rsidRPr="00E40525" w:rsidRDefault="00F22B37" w:rsidP="00D13FF5">
            <w:pPr>
              <w:ind w:leftChars="-44" w:left="-104" w:right="-393" w:hanging="2"/>
              <w:jc w:val="center"/>
            </w:pPr>
            <w:r w:rsidRPr="00E40525">
              <w:t>First publication right:</w:t>
            </w:r>
          </w:p>
          <w:p w:rsidR="008508C8" w:rsidRPr="00E40525" w:rsidRDefault="00F22B37" w:rsidP="00D13FF5">
            <w:pPr>
              <w:ind w:leftChars="-44" w:left="-104" w:right="-393" w:hanging="2"/>
              <w:jc w:val="center"/>
            </w:pPr>
            <w:proofErr w:type="spellStart"/>
            <w:r w:rsidRPr="00E40525">
              <w:t>Jurnal</w:t>
            </w:r>
            <w:proofErr w:type="spellEnd"/>
            <w:r w:rsidRPr="00E40525">
              <w:t xml:space="preserve"> Health Sains</w:t>
            </w:r>
          </w:p>
          <w:p w:rsidR="008508C8" w:rsidRPr="00E40525" w:rsidRDefault="008508C8" w:rsidP="00D13FF5">
            <w:pPr>
              <w:ind w:leftChars="-44" w:left="-104" w:right="-393" w:hanging="2"/>
              <w:jc w:val="center"/>
            </w:pPr>
          </w:p>
        </w:tc>
      </w:tr>
      <w:tr w:rsidR="00290BB3" w:rsidTr="00FB2886">
        <w:trPr>
          <w:trHeight w:val="94"/>
        </w:trPr>
        <w:tc>
          <w:tcPr>
            <w:tcW w:w="8647" w:type="dxa"/>
            <w:shd w:val="clear" w:color="auto" w:fill="auto"/>
          </w:tcPr>
          <w:p w:rsidR="008508C8" w:rsidRPr="00E40525" w:rsidRDefault="00F22B37" w:rsidP="00D13FF5">
            <w:pPr>
              <w:ind w:leftChars="-44" w:left="-104" w:hanging="2"/>
              <w:jc w:val="center"/>
              <w:rPr>
                <w:rFonts w:eastAsia="Tahoma"/>
              </w:rPr>
            </w:pPr>
            <w:r w:rsidRPr="00E40525">
              <w:rPr>
                <w:rFonts w:eastAsia="Tahoma"/>
              </w:rPr>
              <w:t xml:space="preserve">     This article is licensed under the following:</w:t>
            </w:r>
          </w:p>
          <w:p w:rsidR="008508C8" w:rsidRPr="00E40525" w:rsidRDefault="00F22B37" w:rsidP="00D13FF5">
            <w:pPr>
              <w:ind w:leftChars="-44" w:left="-104" w:hanging="2"/>
              <w:jc w:val="center"/>
              <w:rPr>
                <w:rFonts w:eastAsia="Tahoma"/>
                <w:smallCaps/>
              </w:rPr>
            </w:pPr>
            <w:r w:rsidRPr="00E40525">
              <w:rPr>
                <w:rFonts w:eastAsia="Tahoma"/>
                <w:noProof/>
                <w:color w:val="FFFFFF" w:themeColor="background1"/>
                <w:u w:val="single"/>
              </w:rPr>
              <w:lastRenderedPageBreak/>
              <w:t xml:space="preserve">         </w:t>
            </w:r>
            <w:r w:rsidRPr="00E40525">
              <w:rPr>
                <w:rFonts w:eastAsia="Tahoma"/>
                <w:noProof/>
                <w:color w:val="1155CC"/>
                <w:u w:val="single"/>
                <w:lang w:eastAsia="en-US"/>
              </w:rPr>
              <w:drawing>
                <wp:inline distT="0" distB="0" distL="0" distR="0">
                  <wp:extent cx="840105" cy="296545"/>
                  <wp:effectExtent l="0" t="0" r="0" b="0"/>
                  <wp:docPr id="23" name="image3.jpg" descr="WhatsApp Image 2021-06-26 at 17">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3" name="image3.jpg" descr="WhatsApp Image 2021-06-26 at 17"/>
                          <pic:cNvPicPr/>
                        </pic:nvPicPr>
                        <pic:blipFill>
                          <a:blip r:embed="rId24"/>
                          <a:stretch>
                            <a:fillRect/>
                          </a:stretch>
                        </pic:blipFill>
                        <pic:spPr>
                          <a:xfrm>
                            <a:off x="0" y="0"/>
                            <a:ext cx="840105" cy="296545"/>
                          </a:xfrm>
                          <a:prstGeom prst="rect">
                            <a:avLst/>
                          </a:prstGeom>
                        </pic:spPr>
                      </pic:pic>
                    </a:graphicData>
                  </a:graphic>
                </wp:inline>
              </w:drawing>
            </w:r>
          </w:p>
          <w:p w:rsidR="008508C8" w:rsidRPr="00E40525" w:rsidRDefault="008508C8" w:rsidP="00D13FF5">
            <w:pPr>
              <w:ind w:leftChars="-44" w:left="-104" w:right="-393" w:hanging="2"/>
              <w:jc w:val="center"/>
            </w:pPr>
          </w:p>
        </w:tc>
      </w:tr>
    </w:tbl>
    <w:p w:rsidR="003A2E1A" w:rsidRPr="00E40525" w:rsidRDefault="003A2E1A">
      <w:pPr>
        <w:tabs>
          <w:tab w:val="left" w:pos="8925"/>
        </w:tabs>
        <w:ind w:left="0" w:hanging="2"/>
      </w:pPr>
    </w:p>
    <w:sectPr w:rsidR="003A2E1A" w:rsidRPr="00E40525" w:rsidSect="000A7BA9">
      <w:headerReference w:type="even" r:id="rId25"/>
      <w:headerReference w:type="default" r:id="rId26"/>
      <w:footerReference w:type="even" r:id="rId27"/>
      <w:footerReference w:type="default" r:id="rId28"/>
      <w:headerReference w:type="first" r:id="rId29"/>
      <w:footerReference w:type="first" r:id="rId30"/>
      <w:type w:val="continuous"/>
      <w:pgSz w:w="11907" w:h="16840"/>
      <w:pgMar w:top="1701" w:right="1984" w:bottom="1701" w:left="1701" w:header="720" w:footer="588" w:gutter="0"/>
      <w:pgNumType w:start="1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2DF7" w:rsidRDefault="00412DF7">
      <w:pPr>
        <w:spacing w:line="240" w:lineRule="auto"/>
        <w:ind w:left="0" w:hanging="2"/>
      </w:pPr>
      <w:r>
        <w:separator/>
      </w:r>
    </w:p>
  </w:endnote>
  <w:endnote w:type="continuationSeparator" w:id="0">
    <w:p w:rsidR="00412DF7" w:rsidRDefault="00412DF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02298"/>
      <w:docPartObj>
        <w:docPartGallery w:val="Page Numbers (Bottom of Page)"/>
        <w:docPartUnique/>
      </w:docPartObj>
    </w:sdtPr>
    <w:sdtEndPr>
      <w:rPr>
        <w:noProof/>
      </w:rPr>
    </w:sdtEndPr>
    <w:sdtContent>
      <w:p w:rsidR="006C7B64" w:rsidRPr="006B49A3" w:rsidRDefault="00F22B37" w:rsidP="006B49A3">
        <w:pPr>
          <w:pStyle w:val="Footer"/>
          <w:tabs>
            <w:tab w:val="clear" w:pos="4680"/>
            <w:tab w:val="clear" w:pos="9360"/>
          </w:tabs>
          <w:ind w:left="0" w:hanging="2"/>
        </w:pPr>
        <w:r>
          <w:rPr>
            <w:i/>
          </w:rPr>
          <w:t>Syntax Health Sains</w:t>
        </w:r>
        <w:r>
          <w:t xml:space="preserve">: Vol. 4, No. 4 April </w:t>
        </w:r>
        <w:r w:rsidRPr="0096152D">
          <w:t>20</w:t>
        </w:r>
        <w:r>
          <w:rPr>
            <w:lang w:val="id-ID"/>
          </w:rPr>
          <w:t>2</w:t>
        </w:r>
        <w:r>
          <w:rPr>
            <w:lang w:val="en-ID"/>
          </w:rPr>
          <w:t>3</w:t>
        </w:r>
        <w:r>
          <w:rPr>
            <w:lang w:val="en-ID"/>
          </w:rPr>
          <w:tab/>
        </w:r>
        <w:r>
          <w:rPr>
            <w:lang w:val="en-ID"/>
          </w:rPr>
          <w:tab/>
        </w:r>
        <w:r>
          <w:rPr>
            <w:lang w:val="en-ID"/>
          </w:rPr>
          <w:tab/>
        </w:r>
        <w:r>
          <w:rPr>
            <w:lang w:val="en-ID"/>
          </w:rPr>
          <w:tab/>
        </w:r>
        <w:r>
          <w:rPr>
            <w:lang w:val="en-ID"/>
          </w:rPr>
          <w:tab/>
          <w:t xml:space="preserve">     </w:t>
        </w:r>
        <w:r>
          <w:fldChar w:fldCharType="begin"/>
        </w:r>
        <w:r>
          <w:instrText xml:space="preserve"> PAGE   \* MERGEFORMAT </w:instrText>
        </w:r>
        <w:r>
          <w:fldChar w:fldCharType="separate"/>
        </w:r>
        <w:r>
          <w:rPr>
            <w:noProof/>
          </w:rPr>
          <w:t>86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Default="00F22B37">
    <w:pPr>
      <w:pBdr>
        <w:top w:val="nil"/>
        <w:left w:val="nil"/>
        <w:bottom w:val="nil"/>
        <w:right w:val="nil"/>
        <w:between w:val="nil"/>
      </w:pBdr>
      <w:tabs>
        <w:tab w:val="center" w:pos="4680"/>
        <w:tab w:val="right" w:pos="9360"/>
      </w:tabs>
      <w:spacing w:line="240" w:lineRule="auto"/>
      <w:ind w:left="0" w:hanging="2"/>
      <w:jc w:val="right"/>
      <w:rPr>
        <w:rFonts w:ascii="Tahoma" w:eastAsia="Tahoma" w:hAnsi="Tahoma" w:cs="Tahoma"/>
        <w:color w:val="000000"/>
      </w:rPr>
    </w:pPr>
    <w:r>
      <w:rPr>
        <w:i/>
      </w:rPr>
      <w:t>Syntax Health Sains</w:t>
    </w:r>
    <w:r>
      <w:t>: Vol. 4, No</w:t>
    </w:r>
    <w:r w:rsidRPr="006B49A3">
      <w:t xml:space="preserve">. 3 March </w:t>
    </w:r>
    <w:r w:rsidRPr="0096152D">
      <w:t>20</w:t>
    </w:r>
    <w:r>
      <w:rPr>
        <w:lang w:val="id-ID"/>
      </w:rPr>
      <w:t>2</w:t>
    </w:r>
    <w:r>
      <w:rPr>
        <w:lang w:val="en-ID"/>
      </w:rPr>
      <w:t>3</w:t>
    </w:r>
    <w:r>
      <w:rPr>
        <w:lang w:val="en-ID"/>
      </w:rPr>
      <w:tab/>
    </w:r>
    <w:r>
      <w:t xml:space="preserve"> </w:t>
    </w:r>
    <w:r>
      <w:tab/>
    </w: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Pr>
        <w:rFonts w:ascii="Tahoma" w:eastAsia="Tahoma" w:hAnsi="Tahoma" w:cs="Tahoma"/>
        <w:noProof/>
        <w:color w:val="000000"/>
        <w:sz w:val="20"/>
        <w:szCs w:val="20"/>
      </w:rPr>
      <w:t>87</w:t>
    </w:r>
    <w:r>
      <w:rPr>
        <w:rFonts w:ascii="Tahoma" w:eastAsia="Tahoma" w:hAnsi="Tahoma" w:cs="Tahoma"/>
        <w:color w:val="000000"/>
        <w:sz w:val="20"/>
        <w:szCs w:val="20"/>
      </w:rPr>
      <w:fldChar w:fldCharType="end"/>
    </w:r>
  </w:p>
  <w:p w:rsidR="006C7B64" w:rsidRDefault="006C7B64">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55" w:type="dxa"/>
      <w:jc w:val="center"/>
      <w:tblBorders>
        <w:top w:val="single" w:sz="24" w:space="0" w:color="FF0000"/>
      </w:tblBorders>
      <w:shd w:val="clear" w:color="auto" w:fill="E7E6E6"/>
      <w:tblLook w:val="04A0" w:firstRow="1" w:lastRow="0" w:firstColumn="1" w:lastColumn="0" w:noHBand="0" w:noVBand="1"/>
    </w:tblPr>
    <w:tblGrid>
      <w:gridCol w:w="1814"/>
      <w:gridCol w:w="6941"/>
    </w:tblGrid>
    <w:tr w:rsidR="00290BB3" w:rsidTr="00FB2886">
      <w:trPr>
        <w:trHeight w:val="20"/>
        <w:jc w:val="center"/>
      </w:trPr>
      <w:tc>
        <w:tcPr>
          <w:tcW w:w="1814" w:type="dxa"/>
          <w:tcBorders>
            <w:top w:val="single" w:sz="18" w:space="0" w:color="9BBB59" w:themeColor="accent3"/>
          </w:tcBorders>
          <w:shd w:val="clear" w:color="auto" w:fill="E7E6E6"/>
        </w:tcPr>
        <w:p w:rsidR="006C7B64" w:rsidRPr="00B24853" w:rsidRDefault="00F22B37" w:rsidP="00B24853">
          <w:pPr>
            <w:suppressAutoHyphens/>
            <w:ind w:left="0" w:hanging="2"/>
            <w:rPr>
              <w:rFonts w:eastAsia="MS Mincho"/>
              <w:b/>
              <w:sz w:val="16"/>
              <w:szCs w:val="16"/>
            </w:rPr>
          </w:pPr>
          <w:bookmarkStart w:id="0" w:name="_Hlk123639934"/>
          <w:r w:rsidRPr="00B24853">
            <w:rPr>
              <w:rFonts w:eastAsia="MS Mincho"/>
              <w:b/>
              <w:sz w:val="16"/>
              <w:szCs w:val="16"/>
            </w:rPr>
            <w:t>How to cite:</w:t>
          </w:r>
        </w:p>
      </w:tc>
      <w:tc>
        <w:tcPr>
          <w:tcW w:w="6941" w:type="dxa"/>
          <w:tcBorders>
            <w:top w:val="single" w:sz="18" w:space="0" w:color="9BBB59" w:themeColor="accent3"/>
          </w:tcBorders>
          <w:shd w:val="clear" w:color="auto" w:fill="E7E6E6"/>
        </w:tcPr>
        <w:p w:rsidR="006C7B64" w:rsidRPr="00287628" w:rsidRDefault="00A124AF" w:rsidP="00DE59D1">
          <w:pPr>
            <w:ind w:left="0" w:hanging="2"/>
            <w:rPr>
              <w:rFonts w:eastAsia="MS Mincho"/>
              <w:bCs/>
              <w:color w:val="000000" w:themeColor="text1"/>
              <w:sz w:val="16"/>
              <w:szCs w:val="16"/>
            </w:rPr>
          </w:pPr>
          <w:proofErr w:type="spellStart"/>
          <w:r w:rsidRPr="00A124AF">
            <w:rPr>
              <w:rFonts w:eastAsia="Tahoma"/>
              <w:color w:val="000000" w:themeColor="text1"/>
              <w:sz w:val="16"/>
              <w:szCs w:val="16"/>
            </w:rPr>
            <w:t>Teuku</w:t>
          </w:r>
          <w:proofErr w:type="spellEnd"/>
          <w:r w:rsidRPr="00A124AF">
            <w:rPr>
              <w:rFonts w:eastAsia="Tahoma"/>
              <w:color w:val="000000" w:themeColor="text1"/>
              <w:sz w:val="16"/>
              <w:szCs w:val="16"/>
            </w:rPr>
            <w:t xml:space="preserve"> </w:t>
          </w:r>
          <w:proofErr w:type="spellStart"/>
          <w:r w:rsidRPr="00A124AF">
            <w:rPr>
              <w:rFonts w:eastAsia="Tahoma"/>
              <w:color w:val="000000" w:themeColor="text1"/>
              <w:sz w:val="16"/>
              <w:szCs w:val="16"/>
            </w:rPr>
            <w:t>Nanta</w:t>
          </w:r>
          <w:proofErr w:type="spellEnd"/>
          <w:r w:rsidRPr="00A124AF">
            <w:rPr>
              <w:rFonts w:eastAsia="Tahoma"/>
              <w:color w:val="000000" w:themeColor="text1"/>
              <w:sz w:val="16"/>
              <w:szCs w:val="16"/>
            </w:rPr>
            <w:t xml:space="preserve"> </w:t>
          </w:r>
          <w:proofErr w:type="spellStart"/>
          <w:r w:rsidRPr="00A124AF">
            <w:rPr>
              <w:rFonts w:eastAsia="Tahoma"/>
              <w:color w:val="000000" w:themeColor="text1"/>
              <w:sz w:val="16"/>
              <w:szCs w:val="16"/>
            </w:rPr>
            <w:t>Aulia</w:t>
          </w:r>
          <w:proofErr w:type="spellEnd"/>
          <w:r w:rsidRPr="00A124AF">
            <w:rPr>
              <w:rFonts w:eastAsia="Tahoma"/>
              <w:color w:val="000000" w:themeColor="text1"/>
              <w:sz w:val="16"/>
              <w:szCs w:val="16"/>
            </w:rPr>
            <w:t xml:space="preserve">, Muhammad Iqbal, </w:t>
          </w:r>
          <w:proofErr w:type="spellStart"/>
          <w:proofErr w:type="gramStart"/>
          <w:r w:rsidRPr="00A124AF">
            <w:rPr>
              <w:rFonts w:eastAsia="Tahoma"/>
              <w:color w:val="000000" w:themeColor="text1"/>
              <w:sz w:val="16"/>
              <w:szCs w:val="16"/>
            </w:rPr>
            <w:t>M.irfan</w:t>
          </w:r>
          <w:proofErr w:type="spellEnd"/>
          <w:proofErr w:type="gramEnd"/>
          <w:r w:rsidRPr="00A124AF">
            <w:rPr>
              <w:rFonts w:eastAsia="Tahoma"/>
              <w:color w:val="000000" w:themeColor="text1"/>
              <w:sz w:val="16"/>
              <w:szCs w:val="16"/>
            </w:rPr>
            <w:t xml:space="preserve"> </w:t>
          </w:r>
          <w:proofErr w:type="spellStart"/>
          <w:r w:rsidRPr="00A124AF">
            <w:rPr>
              <w:rFonts w:eastAsia="Tahoma"/>
              <w:color w:val="000000" w:themeColor="text1"/>
              <w:sz w:val="16"/>
              <w:szCs w:val="16"/>
            </w:rPr>
            <w:t>Guranda</w:t>
          </w:r>
          <w:proofErr w:type="spellEnd"/>
          <w:r w:rsidRPr="00A124AF">
            <w:rPr>
              <w:rFonts w:eastAsia="Tahoma"/>
              <w:color w:val="000000" w:themeColor="text1"/>
              <w:sz w:val="16"/>
              <w:szCs w:val="16"/>
            </w:rPr>
            <w:t xml:space="preserve"> </w:t>
          </w:r>
          <w:r w:rsidR="003641CB" w:rsidRPr="00287628">
            <w:rPr>
              <w:rFonts w:eastAsia="MS Mincho"/>
              <w:bCs/>
              <w:color w:val="000000" w:themeColor="text1"/>
              <w:sz w:val="16"/>
              <w:szCs w:val="16"/>
            </w:rPr>
            <w:t>(2023)</w:t>
          </w:r>
          <w:r w:rsidR="003641CB" w:rsidRPr="00287628">
            <w:rPr>
              <w:color w:val="000000" w:themeColor="text1"/>
            </w:rPr>
            <w:t xml:space="preserve"> </w:t>
          </w:r>
          <w:r w:rsidR="00DE59D1" w:rsidRPr="00DE59D1">
            <w:rPr>
              <w:rFonts w:eastAsia="MS Mincho"/>
              <w:bCs/>
              <w:color w:val="000000" w:themeColor="text1"/>
              <w:sz w:val="16"/>
              <w:szCs w:val="16"/>
            </w:rPr>
            <w:t>Functional Outcome in C2/C3 Fracture Dislocation Managed With Combined Surgical Decompress</w:t>
          </w:r>
          <w:r w:rsidR="00DE59D1">
            <w:rPr>
              <w:rFonts w:eastAsia="MS Mincho"/>
              <w:bCs/>
              <w:color w:val="000000" w:themeColor="text1"/>
              <w:sz w:val="16"/>
              <w:szCs w:val="16"/>
            </w:rPr>
            <w:t>ion and Posterior Stabilization</w:t>
          </w:r>
          <w:r w:rsidR="003641CB" w:rsidRPr="00287628">
            <w:rPr>
              <w:rFonts w:eastAsia="MS Mincho"/>
              <w:bCs/>
              <w:i/>
              <w:iCs/>
              <w:color w:val="000000" w:themeColor="text1"/>
              <w:sz w:val="16"/>
              <w:szCs w:val="16"/>
            </w:rPr>
            <w:t>,</w:t>
          </w:r>
          <w:r w:rsidR="003641CB" w:rsidRPr="00287628">
            <w:rPr>
              <w:color w:val="000000" w:themeColor="text1"/>
            </w:rPr>
            <w:t xml:space="preserve"> </w:t>
          </w:r>
          <w:r w:rsidR="003641CB" w:rsidRPr="00287628">
            <w:rPr>
              <w:i/>
              <w:color w:val="000000" w:themeColor="text1"/>
              <w:sz w:val="16"/>
              <w:szCs w:val="16"/>
            </w:rPr>
            <w:t>Journal</w:t>
          </w:r>
          <w:r w:rsidR="003641CB" w:rsidRPr="00287628">
            <w:rPr>
              <w:i/>
              <w:color w:val="000000" w:themeColor="text1"/>
            </w:rPr>
            <w:t xml:space="preserve"> </w:t>
          </w:r>
          <w:r w:rsidR="003641CB" w:rsidRPr="00287628">
            <w:rPr>
              <w:rFonts w:eastAsia="MS Mincho"/>
              <w:bCs/>
              <w:i/>
              <w:iCs/>
              <w:color w:val="000000" w:themeColor="text1"/>
              <w:sz w:val="16"/>
              <w:szCs w:val="16"/>
            </w:rPr>
            <w:t>Health Sains, 4</w:t>
          </w:r>
          <w:r w:rsidR="003641CB" w:rsidRPr="00287628">
            <w:rPr>
              <w:rFonts w:eastAsia="MS Mincho"/>
              <w:bCs/>
              <w:color w:val="000000" w:themeColor="text1"/>
              <w:sz w:val="16"/>
              <w:szCs w:val="16"/>
            </w:rPr>
            <w:t xml:space="preserve">(5). </w:t>
          </w:r>
        </w:p>
        <w:p w:rsidR="006C7B64" w:rsidRPr="00A124AF" w:rsidRDefault="00000000" w:rsidP="00B24853">
          <w:pPr>
            <w:suppressAutoHyphens/>
            <w:ind w:left="0" w:hanging="2"/>
            <w:jc w:val="both"/>
            <w:rPr>
              <w:rFonts w:eastAsia="MS Mincho"/>
              <w:b/>
              <w:sz w:val="16"/>
              <w:szCs w:val="16"/>
            </w:rPr>
          </w:pPr>
          <w:hyperlink r:id="rId1" w:history="1">
            <w:r w:rsidR="003641CB" w:rsidRPr="00A124AF">
              <w:rPr>
                <w:rStyle w:val="Hyperlink"/>
                <w:rFonts w:eastAsia="MS Mincho"/>
                <w:bCs/>
                <w:color w:val="000000" w:themeColor="text1"/>
                <w:sz w:val="16"/>
                <w:szCs w:val="16"/>
                <w:u w:val="none"/>
              </w:rPr>
              <w:t>https://doi.org/</w:t>
            </w:r>
          </w:hyperlink>
        </w:p>
      </w:tc>
    </w:tr>
    <w:tr w:rsidR="00290BB3" w:rsidTr="00FB2886">
      <w:trPr>
        <w:trHeight w:val="20"/>
        <w:jc w:val="center"/>
      </w:trPr>
      <w:tc>
        <w:tcPr>
          <w:tcW w:w="1814" w:type="dxa"/>
          <w:shd w:val="clear" w:color="auto" w:fill="E7E6E6"/>
        </w:tcPr>
        <w:p w:rsidR="006C7B64" w:rsidRPr="00B24853" w:rsidRDefault="00F22B37" w:rsidP="00B24853">
          <w:pPr>
            <w:suppressAutoHyphens/>
            <w:ind w:left="0" w:hanging="2"/>
            <w:rPr>
              <w:rFonts w:eastAsia="MS Mincho"/>
              <w:b/>
              <w:sz w:val="16"/>
              <w:szCs w:val="16"/>
            </w:rPr>
          </w:pPr>
          <w:r w:rsidRPr="00B24853">
            <w:rPr>
              <w:rFonts w:eastAsia="MS Mincho"/>
              <w:b/>
              <w:sz w:val="16"/>
              <w:szCs w:val="16"/>
            </w:rPr>
            <w:t>E-ISSN:</w:t>
          </w:r>
        </w:p>
      </w:tc>
      <w:tc>
        <w:tcPr>
          <w:tcW w:w="6941" w:type="dxa"/>
          <w:shd w:val="clear" w:color="auto" w:fill="E7E6E6"/>
          <w:vAlign w:val="center"/>
        </w:tcPr>
        <w:p w:rsidR="006C7B64" w:rsidRPr="00B24853" w:rsidRDefault="00000000" w:rsidP="00B24853">
          <w:pPr>
            <w:suppressAutoHyphens/>
            <w:ind w:left="0" w:hanging="2"/>
            <w:rPr>
              <w:rFonts w:eastAsia="MS Mincho"/>
              <w:bCs/>
              <w:sz w:val="16"/>
              <w:szCs w:val="16"/>
            </w:rPr>
          </w:pPr>
          <w:hyperlink r:id="rId2" w:history="1">
            <w:r w:rsidR="003641CB" w:rsidRPr="00B24853">
              <w:rPr>
                <w:rStyle w:val="Hyperlink"/>
                <w:rFonts w:eastAsia="MS Mincho"/>
                <w:bCs/>
                <w:sz w:val="16"/>
                <w:szCs w:val="16"/>
              </w:rPr>
              <w:t>2722-5356</w:t>
            </w:r>
          </w:hyperlink>
        </w:p>
      </w:tc>
    </w:tr>
    <w:tr w:rsidR="00290BB3" w:rsidTr="00FB2886">
      <w:trPr>
        <w:trHeight w:val="20"/>
        <w:jc w:val="center"/>
      </w:trPr>
      <w:tc>
        <w:tcPr>
          <w:tcW w:w="1814" w:type="dxa"/>
          <w:shd w:val="clear" w:color="auto" w:fill="E7E6E6"/>
        </w:tcPr>
        <w:p w:rsidR="006C7B64" w:rsidRPr="00B24853" w:rsidRDefault="00F22B37" w:rsidP="00B24853">
          <w:pPr>
            <w:suppressAutoHyphens/>
            <w:ind w:left="0" w:hanging="2"/>
            <w:rPr>
              <w:rFonts w:eastAsia="MS Mincho"/>
              <w:b/>
              <w:sz w:val="16"/>
              <w:szCs w:val="16"/>
            </w:rPr>
          </w:pPr>
          <w:r w:rsidRPr="00B24853">
            <w:rPr>
              <w:rFonts w:eastAsia="MS Mincho"/>
              <w:b/>
              <w:sz w:val="16"/>
              <w:szCs w:val="16"/>
            </w:rPr>
            <w:t>Published by:</w:t>
          </w:r>
        </w:p>
      </w:tc>
      <w:tc>
        <w:tcPr>
          <w:tcW w:w="6941" w:type="dxa"/>
          <w:shd w:val="clear" w:color="auto" w:fill="E7E6E6"/>
          <w:vAlign w:val="center"/>
        </w:tcPr>
        <w:p w:rsidR="006C7B64" w:rsidRPr="00B24853" w:rsidRDefault="00000000" w:rsidP="00B24853">
          <w:pPr>
            <w:suppressAutoHyphens/>
            <w:ind w:left="0" w:hanging="2"/>
            <w:rPr>
              <w:rFonts w:eastAsia="MS Mincho"/>
              <w:bCs/>
              <w:sz w:val="16"/>
              <w:szCs w:val="16"/>
            </w:rPr>
          </w:pPr>
          <w:hyperlink r:id="rId3" w:history="1">
            <w:r w:rsidR="003641CB" w:rsidRPr="00B24853">
              <w:rPr>
                <w:rFonts w:eastAsia="MS Mincho"/>
                <w:bCs/>
                <w:color w:val="0000FF"/>
                <w:sz w:val="16"/>
                <w:szCs w:val="16"/>
              </w:rPr>
              <w:t>Ridwan Institute</w:t>
            </w:r>
          </w:hyperlink>
        </w:p>
      </w:tc>
    </w:tr>
    <w:bookmarkEnd w:id="0"/>
  </w:tbl>
  <w:p w:rsidR="006C7B64" w:rsidRPr="00B24853" w:rsidRDefault="006C7B64" w:rsidP="00B24853">
    <w:pPr>
      <w:pStyle w:val="Footer"/>
      <w:ind w:leftChars="0" w:left="0" w:firstLineChars="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762515"/>
      <w:docPartObj>
        <w:docPartGallery w:val="Page Numbers (Bottom of Page)"/>
        <w:docPartUnique/>
      </w:docPartObj>
    </w:sdtPr>
    <w:sdtEndPr>
      <w:rPr>
        <w:noProof/>
      </w:rPr>
    </w:sdtEndPr>
    <w:sdtContent>
      <w:p w:rsidR="006C7B64" w:rsidRDefault="00F22B37" w:rsidP="00BC2795">
        <w:pPr>
          <w:pStyle w:val="Footer"/>
          <w:ind w:left="0" w:hanging="2"/>
        </w:pPr>
        <w:r>
          <w:rPr>
            <w:i/>
          </w:rPr>
          <w:t>Syntax Health Sains</w:t>
        </w:r>
        <w:r>
          <w:t xml:space="preserve">: Vol. 4, No. </w:t>
        </w:r>
        <w:r w:rsidR="00372C13">
          <w:t>5 May</w:t>
        </w:r>
        <w:r>
          <w:t xml:space="preserve"> </w:t>
        </w:r>
        <w:r w:rsidRPr="0096152D">
          <w:t>20</w:t>
        </w:r>
        <w:r>
          <w:rPr>
            <w:lang w:val="id-ID"/>
          </w:rPr>
          <w:t>2</w:t>
        </w:r>
        <w:r>
          <w:rPr>
            <w:lang w:val="en-ID"/>
          </w:rPr>
          <w:t>3</w:t>
        </w:r>
        <w:r>
          <w:rPr>
            <w:lang w:val="en-ID"/>
          </w:rPr>
          <w:tab/>
        </w:r>
        <w:r>
          <w:t xml:space="preserve"> </w:t>
        </w:r>
        <w:r>
          <w:tab/>
        </w:r>
        <w:r>
          <w:fldChar w:fldCharType="begin"/>
        </w:r>
        <w:r>
          <w:instrText xml:space="preserve"> PAGE   \* MERGEFORMAT </w:instrText>
        </w:r>
        <w:r>
          <w:fldChar w:fldCharType="separate"/>
        </w:r>
        <w:r w:rsidR="00D844F8">
          <w:rPr>
            <w:noProof/>
          </w:rPr>
          <w:t>10</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901072"/>
      <w:docPartObj>
        <w:docPartGallery w:val="Page Numbers (Bottom of Page)"/>
        <w:docPartUnique/>
      </w:docPartObj>
    </w:sdtPr>
    <w:sdtEndPr>
      <w:rPr>
        <w:noProof/>
      </w:rPr>
    </w:sdtEndPr>
    <w:sdtContent>
      <w:p w:rsidR="006C7B64" w:rsidRDefault="00F22B37" w:rsidP="00BC2795">
        <w:pPr>
          <w:pStyle w:val="Footer"/>
          <w:tabs>
            <w:tab w:val="clear" w:pos="4680"/>
          </w:tabs>
          <w:ind w:left="0" w:hanging="2"/>
        </w:pPr>
        <w:r>
          <w:fldChar w:fldCharType="begin"/>
        </w:r>
        <w:r>
          <w:instrText xml:space="preserve"> PAGE   \* MERGEFORMAT </w:instrText>
        </w:r>
        <w:r>
          <w:fldChar w:fldCharType="separate"/>
        </w:r>
        <w:r w:rsidR="00D844F8">
          <w:rPr>
            <w:noProof/>
          </w:rPr>
          <w:t>11</w:t>
        </w:r>
        <w:r>
          <w:rPr>
            <w:noProof/>
          </w:rPr>
          <w:fldChar w:fldCharType="end"/>
        </w:r>
        <w:r w:rsidRPr="009A637C">
          <w:rPr>
            <w:i/>
          </w:rPr>
          <w:t xml:space="preserve"> </w:t>
        </w:r>
        <w:r>
          <w:rPr>
            <w:i/>
          </w:rPr>
          <w:tab/>
          <w:t>Syntax Health Sains</w:t>
        </w:r>
        <w:r>
          <w:t xml:space="preserve">: Vol. 4, No. </w:t>
        </w:r>
        <w:r w:rsidR="00372C13">
          <w:t>5 May</w:t>
        </w:r>
        <w:r>
          <w:t xml:space="preserve"> </w:t>
        </w:r>
        <w:r w:rsidRPr="0096152D">
          <w:t>20</w:t>
        </w:r>
        <w:r>
          <w:rPr>
            <w:lang w:val="id-ID"/>
          </w:rPr>
          <w:t>2</w:t>
        </w:r>
        <w:r>
          <w:rPr>
            <w:lang w:val="en-ID"/>
          </w:rPr>
          <w:t>3</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Pr="00B24853" w:rsidRDefault="006C7B64" w:rsidP="00B24853">
    <w:pPr>
      <w:pBdr>
        <w:top w:val="nil"/>
        <w:left w:val="nil"/>
        <w:bottom w:val="nil"/>
        <w:right w:val="nil"/>
        <w:between w:val="nil"/>
      </w:pBdr>
      <w:tabs>
        <w:tab w:val="center" w:pos="4680"/>
        <w:tab w:val="right" w:pos="9360"/>
      </w:tabs>
      <w:spacing w:line="240" w:lineRule="auto"/>
      <w:ind w:leftChars="0" w:left="0" w:firstLineChars="0" w:firstLine="0"/>
      <w:rPr>
        <w:rFonts w:ascii="Tahoma" w:eastAsia="Tahoma" w:hAnsi="Tahoma" w:cs="Tahom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2DF7" w:rsidRDefault="00412DF7">
      <w:pPr>
        <w:spacing w:line="240" w:lineRule="auto"/>
        <w:ind w:left="0" w:hanging="2"/>
      </w:pPr>
      <w:r>
        <w:separator/>
      </w:r>
    </w:p>
  </w:footnote>
  <w:footnote w:type="continuationSeparator" w:id="0">
    <w:p w:rsidR="00412DF7" w:rsidRDefault="00412DF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Pr="00AB6D32" w:rsidRDefault="00F22B37" w:rsidP="00AB6D32">
    <w:pPr>
      <w:ind w:left="0" w:hanging="2"/>
      <w:jc w:val="right"/>
      <w:rPr>
        <w:rFonts w:eastAsia="Tahoma"/>
        <w:bCs/>
      </w:rPr>
    </w:pPr>
    <w:proofErr w:type="spellStart"/>
    <w:r>
      <w:rPr>
        <w:rFonts w:eastAsia="Tahoma"/>
        <w:bCs/>
      </w:rPr>
      <w:t>Hubungan</w:t>
    </w:r>
    <w:proofErr w:type="spellEnd"/>
    <w:r>
      <w:rPr>
        <w:rFonts w:eastAsia="Tahoma"/>
        <w:bCs/>
      </w:rPr>
      <w:t xml:space="preserve"> </w:t>
    </w:r>
    <w:proofErr w:type="spellStart"/>
    <w:r>
      <w:rPr>
        <w:rFonts w:eastAsia="Tahoma"/>
        <w:bCs/>
      </w:rPr>
      <w:t>Partus</w:t>
    </w:r>
    <w:proofErr w:type="spellEnd"/>
    <w:r>
      <w:rPr>
        <w:rFonts w:eastAsia="Tahoma"/>
        <w:bCs/>
      </w:rPr>
      <w:t xml:space="preserve"> Lama dan Anemia </w:t>
    </w:r>
    <w:proofErr w:type="spellStart"/>
    <w:r>
      <w:rPr>
        <w:rFonts w:eastAsia="Tahoma"/>
        <w:bCs/>
      </w:rPr>
      <w:t>dalam</w:t>
    </w:r>
    <w:proofErr w:type="spellEnd"/>
    <w:r>
      <w:rPr>
        <w:rFonts w:eastAsia="Tahoma"/>
        <w:bCs/>
      </w:rPr>
      <w:t xml:space="preserve"> </w:t>
    </w:r>
    <w:proofErr w:type="spellStart"/>
    <w:r>
      <w:rPr>
        <w:rFonts w:eastAsia="Tahoma"/>
        <w:bCs/>
      </w:rPr>
      <w:t>Kehamilan</w:t>
    </w:r>
    <w:proofErr w:type="spellEnd"/>
    <w:r>
      <w:rPr>
        <w:rFonts w:eastAsia="Tahoma"/>
        <w:bCs/>
      </w:rPr>
      <w:t xml:space="preserve"> </w:t>
    </w:r>
    <w:proofErr w:type="spellStart"/>
    <w:r>
      <w:rPr>
        <w:rFonts w:eastAsia="Tahoma"/>
        <w:bCs/>
      </w:rPr>
      <w:t>d</w:t>
    </w:r>
    <w:r w:rsidRPr="00AB6D32">
      <w:rPr>
        <w:rFonts w:eastAsia="Tahoma"/>
        <w:bCs/>
      </w:rPr>
      <w:t>engan</w:t>
    </w:r>
    <w:proofErr w:type="spellEnd"/>
    <w:r w:rsidRPr="00AB6D32">
      <w:rPr>
        <w:rFonts w:eastAsia="Tahoma"/>
        <w:bCs/>
      </w:rPr>
      <w:t xml:space="preserve"> </w:t>
    </w:r>
    <w:proofErr w:type="spellStart"/>
    <w:r w:rsidRPr="00AB6D32">
      <w:rPr>
        <w:rFonts w:eastAsia="Tahoma"/>
        <w:bCs/>
      </w:rPr>
      <w:t>Kejadian</w:t>
    </w:r>
    <w:proofErr w:type="spellEnd"/>
    <w:r w:rsidRPr="00AB6D32">
      <w:rPr>
        <w:rFonts w:eastAsia="Tahoma"/>
        <w:bCs/>
      </w:rPr>
      <w:t xml:space="preserve"> Atonia Uteri </w:t>
    </w:r>
    <w:r>
      <w:rPr>
        <w:rFonts w:eastAsia="Tahoma"/>
        <w:bCs/>
      </w:rPr>
      <w:t>p</w:t>
    </w:r>
    <w:r w:rsidRPr="00AB6D32">
      <w:rPr>
        <w:rFonts w:eastAsia="Tahoma"/>
        <w:bCs/>
      </w:rPr>
      <w:t xml:space="preserve">ada Ibu </w:t>
    </w:r>
    <w:proofErr w:type="spellStart"/>
    <w:r w:rsidRPr="00AB6D32">
      <w:rPr>
        <w:rFonts w:eastAsia="Tahoma"/>
        <w:bCs/>
      </w:rPr>
      <w:t>Bersalin</w:t>
    </w:r>
    <w:proofErr w:type="spellEnd"/>
  </w:p>
  <w:p w:rsidR="006C7B64" w:rsidRPr="00AB6D32" w:rsidRDefault="006C7B64" w:rsidP="00AB6D32">
    <w:pPr>
      <w:pStyle w:val="Header"/>
      <w:ind w:left="0" w:hanging="2"/>
      <w:jc w:val="right"/>
      <w:rPr>
        <w:rFonts w:eastAsia="Tahom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Pr="006B49A3" w:rsidRDefault="00F22B37" w:rsidP="006B49A3">
    <w:pPr>
      <w:spacing w:line="276" w:lineRule="auto"/>
      <w:ind w:left="0" w:hanging="2"/>
      <w:jc w:val="right"/>
      <w:rPr>
        <w:rFonts w:eastAsia="Tahoma"/>
        <w:bCs/>
      </w:rPr>
    </w:pPr>
    <w:proofErr w:type="spellStart"/>
    <w:r>
      <w:rPr>
        <w:rFonts w:eastAsia="Tahoma"/>
        <w:bCs/>
      </w:rPr>
      <w:t>Edukasi</w:t>
    </w:r>
    <w:proofErr w:type="spellEnd"/>
    <w:r>
      <w:rPr>
        <w:rFonts w:eastAsia="Tahoma"/>
        <w:bCs/>
      </w:rPr>
      <w:t xml:space="preserve"> </w:t>
    </w:r>
    <w:proofErr w:type="spellStart"/>
    <w:r>
      <w:rPr>
        <w:rFonts w:eastAsia="Tahoma"/>
        <w:bCs/>
      </w:rPr>
      <w:t>Perawatan</w:t>
    </w:r>
    <w:proofErr w:type="spellEnd"/>
    <w:r>
      <w:rPr>
        <w:rFonts w:eastAsia="Tahoma"/>
        <w:bCs/>
      </w:rPr>
      <w:t xml:space="preserve"> Kaki p</w:t>
    </w:r>
    <w:r w:rsidRPr="006B49A3">
      <w:rPr>
        <w:rFonts w:eastAsia="Tahoma"/>
        <w:bCs/>
      </w:rPr>
      <w:t>a</w:t>
    </w:r>
    <w:r>
      <w:rPr>
        <w:rFonts w:eastAsia="Tahoma"/>
        <w:bCs/>
      </w:rPr>
      <w:t xml:space="preserve">da </w:t>
    </w:r>
    <w:proofErr w:type="spellStart"/>
    <w:r>
      <w:rPr>
        <w:rFonts w:eastAsia="Tahoma"/>
        <w:bCs/>
      </w:rPr>
      <w:t>Penderita</w:t>
    </w:r>
    <w:proofErr w:type="spellEnd"/>
    <w:r>
      <w:rPr>
        <w:rFonts w:eastAsia="Tahoma"/>
        <w:bCs/>
      </w:rPr>
      <w:t xml:space="preserve"> Diabetes Mellitus d</w:t>
    </w:r>
    <w:r w:rsidRPr="006B49A3">
      <w:rPr>
        <w:rFonts w:eastAsia="Tahoma"/>
        <w:bCs/>
      </w:rPr>
      <w:t xml:space="preserve">i Wilayah </w:t>
    </w:r>
    <w:proofErr w:type="spellStart"/>
    <w:r w:rsidRPr="006B49A3">
      <w:rPr>
        <w:rFonts w:eastAsia="Tahoma"/>
        <w:bCs/>
      </w:rPr>
      <w:t>Kerja</w:t>
    </w:r>
    <w:proofErr w:type="spellEnd"/>
  </w:p>
  <w:p w:rsidR="006C7B64" w:rsidRPr="006B49A3" w:rsidRDefault="00F22B37" w:rsidP="006B49A3">
    <w:pPr>
      <w:spacing w:line="276" w:lineRule="auto"/>
      <w:ind w:left="0" w:hanging="2"/>
      <w:jc w:val="right"/>
      <w:rPr>
        <w:rFonts w:eastAsia="Tahoma"/>
        <w:bCs/>
      </w:rPr>
    </w:pPr>
    <w:proofErr w:type="spellStart"/>
    <w:r w:rsidRPr="006B49A3">
      <w:rPr>
        <w:rFonts w:eastAsia="Tahoma"/>
        <w:bCs/>
      </w:rPr>
      <w:t>Puskesmas</w:t>
    </w:r>
    <w:proofErr w:type="spellEnd"/>
    <w:r w:rsidRPr="006B49A3">
      <w:rPr>
        <w:rFonts w:eastAsia="Tahoma"/>
        <w:bCs/>
      </w:rPr>
      <w:t xml:space="preserve"> </w:t>
    </w:r>
    <w:proofErr w:type="spellStart"/>
    <w:r w:rsidRPr="006B49A3">
      <w:rPr>
        <w:rFonts w:eastAsia="Tahoma"/>
        <w:bCs/>
      </w:rPr>
      <w:t>Syamtalira</w:t>
    </w:r>
    <w:proofErr w:type="spellEnd"/>
    <w:r w:rsidRPr="006B49A3">
      <w:rPr>
        <w:rFonts w:eastAsia="Tahoma"/>
        <w:bCs/>
      </w:rPr>
      <w:t xml:space="preserve"> Aron </w:t>
    </w:r>
  </w:p>
  <w:p w:rsidR="006C7B64" w:rsidRPr="006B49A3" w:rsidRDefault="006C7B64" w:rsidP="006B49A3">
    <w:pPr>
      <w:pStyle w:val="Header"/>
      <w:ind w:left="0"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Default="00F22B37" w:rsidP="00B24853">
    <w:pPr>
      <w:pBdr>
        <w:top w:val="nil"/>
        <w:left w:val="nil"/>
        <w:bottom w:val="nil"/>
        <w:right w:val="nil"/>
        <w:between w:val="nil"/>
      </w:pBdr>
      <w:tabs>
        <w:tab w:val="center" w:pos="4680"/>
        <w:tab w:val="right" w:pos="9360"/>
      </w:tabs>
      <w:spacing w:line="240" w:lineRule="auto"/>
      <w:ind w:leftChars="0" w:left="0" w:firstLineChars="0" w:firstLine="0"/>
      <w:rPr>
        <w:color w:val="000000"/>
      </w:rPr>
    </w:pPr>
    <w:r>
      <w:rPr>
        <w:noProof/>
        <w:color w:val="000000"/>
        <w:lang w:eastAsia="en-US"/>
      </w:rPr>
      <w:drawing>
        <wp:anchor distT="0" distB="0" distL="114300" distR="114300" simplePos="0" relativeHeight="251658240" behindDoc="1" locked="0" layoutInCell="1" allowOverlap="1">
          <wp:simplePos x="0" y="0"/>
          <wp:positionH relativeFrom="column">
            <wp:posOffset>-1038225</wp:posOffset>
          </wp:positionH>
          <wp:positionV relativeFrom="paragraph">
            <wp:posOffset>-419100</wp:posOffset>
          </wp:positionV>
          <wp:extent cx="7488579" cy="948690"/>
          <wp:effectExtent l="0" t="0" r="444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JHS.png"/>
                  <pic:cNvPicPr/>
                </pic:nvPicPr>
                <pic:blipFill>
                  <a:blip r:embed="rId1">
                    <a:extLst>
                      <a:ext uri="{28A0092B-C50C-407E-A947-70E740481C1C}">
                        <a14:useLocalDpi xmlns:a14="http://schemas.microsoft.com/office/drawing/2010/main" val="0"/>
                      </a:ext>
                    </a:extLst>
                  </a:blip>
                  <a:stretch>
                    <a:fillRect/>
                  </a:stretch>
                </pic:blipFill>
                <pic:spPr>
                  <a:xfrm>
                    <a:off x="0" y="0"/>
                    <a:ext cx="7488579" cy="94869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Pr="00DE59D1" w:rsidRDefault="00DE59D1" w:rsidP="00DE59D1">
    <w:pPr>
      <w:ind w:left="0" w:hanging="2"/>
      <w:jc w:val="right"/>
      <w:rPr>
        <w:rFonts w:eastAsia="Tahoma"/>
        <w:bCs/>
      </w:rPr>
    </w:pPr>
    <w:r>
      <w:rPr>
        <w:rFonts w:eastAsia="Tahoma"/>
        <w:bCs/>
      </w:rPr>
      <w:t>Functional Outcome i</w:t>
    </w:r>
    <w:r w:rsidRPr="00DE59D1">
      <w:rPr>
        <w:rFonts w:eastAsia="Tahoma"/>
        <w:bCs/>
      </w:rPr>
      <w:t xml:space="preserve">n C2/C3 Fracture Dislocation Managed </w:t>
    </w:r>
    <w:proofErr w:type="gramStart"/>
    <w:r w:rsidRPr="00DE59D1">
      <w:rPr>
        <w:rFonts w:eastAsia="Tahoma"/>
        <w:bCs/>
      </w:rPr>
      <w:t>With</w:t>
    </w:r>
    <w:proofErr w:type="gramEnd"/>
    <w:r w:rsidRPr="00DE59D1">
      <w:rPr>
        <w:rFonts w:eastAsia="Tahoma"/>
        <w:bCs/>
      </w:rPr>
      <w:t xml:space="preserve"> C</w:t>
    </w:r>
    <w:r>
      <w:rPr>
        <w:rFonts w:eastAsia="Tahoma"/>
        <w:bCs/>
      </w:rPr>
      <w:t>ombined Surgical Decompression a</w:t>
    </w:r>
    <w:r w:rsidRPr="00DE59D1">
      <w:rPr>
        <w:rFonts w:eastAsia="Tahoma"/>
        <w:bCs/>
      </w:rPr>
      <w:t>nd Posterior Stabilization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Pr="00DE59D1" w:rsidRDefault="00DE59D1" w:rsidP="00DE59D1">
    <w:pPr>
      <w:ind w:left="-2" w:firstLineChars="0" w:firstLine="2"/>
      <w:rPr>
        <w:rFonts w:eastAsia="Tahoma"/>
        <w:bCs/>
        <w:color w:val="000000" w:themeColor="text1"/>
      </w:rPr>
    </w:pPr>
    <w:proofErr w:type="spellStart"/>
    <w:r w:rsidRPr="00DE59D1">
      <w:rPr>
        <w:rFonts w:eastAsia="Tahoma"/>
        <w:bCs/>
        <w:color w:val="000000" w:themeColor="text1"/>
      </w:rPr>
      <w:t>Teuku</w:t>
    </w:r>
    <w:proofErr w:type="spellEnd"/>
    <w:r w:rsidRPr="00DE59D1">
      <w:rPr>
        <w:rFonts w:eastAsia="Tahoma"/>
        <w:bCs/>
        <w:color w:val="000000" w:themeColor="text1"/>
      </w:rPr>
      <w:t xml:space="preserve"> </w:t>
    </w:r>
    <w:proofErr w:type="spellStart"/>
    <w:r w:rsidRPr="00DE59D1">
      <w:rPr>
        <w:rFonts w:eastAsia="Tahoma"/>
        <w:bCs/>
        <w:color w:val="000000" w:themeColor="text1"/>
      </w:rPr>
      <w:t>Nanta</w:t>
    </w:r>
    <w:proofErr w:type="spellEnd"/>
    <w:r w:rsidRPr="00DE59D1">
      <w:rPr>
        <w:rFonts w:eastAsia="Tahoma"/>
        <w:bCs/>
        <w:color w:val="000000" w:themeColor="text1"/>
      </w:rPr>
      <w:t xml:space="preserve"> </w:t>
    </w:r>
    <w:proofErr w:type="spellStart"/>
    <w:r w:rsidRPr="00DE59D1">
      <w:rPr>
        <w:rFonts w:eastAsia="Tahoma"/>
        <w:bCs/>
        <w:color w:val="000000" w:themeColor="text1"/>
      </w:rPr>
      <w:t>Aulia</w:t>
    </w:r>
    <w:proofErr w:type="spellEnd"/>
    <w:r w:rsidRPr="00DE59D1">
      <w:rPr>
        <w:rFonts w:eastAsia="Tahoma"/>
        <w:bCs/>
        <w:color w:val="000000" w:themeColor="text1"/>
      </w:rPr>
      <w:t>, Muhammad Iqbal, M</w:t>
    </w:r>
    <w:r w:rsidR="0080372A">
      <w:rPr>
        <w:rFonts w:eastAsia="Tahoma"/>
        <w:bCs/>
        <w:color w:val="000000" w:themeColor="text1"/>
      </w:rPr>
      <w:t xml:space="preserve"> I</w:t>
    </w:r>
    <w:r w:rsidRPr="00DE59D1">
      <w:rPr>
        <w:rFonts w:eastAsia="Tahoma"/>
        <w:bCs/>
        <w:color w:val="000000" w:themeColor="text1"/>
      </w:rPr>
      <w:t xml:space="preserve">rfan </w:t>
    </w:r>
    <w:proofErr w:type="spellStart"/>
    <w:r w:rsidRPr="00DE59D1">
      <w:rPr>
        <w:rFonts w:eastAsia="Tahoma"/>
        <w:bCs/>
        <w:color w:val="000000" w:themeColor="text1"/>
      </w:rPr>
      <w:t>Guranda</w:t>
    </w:r>
    <w:proofErr w:type="spellEnd"/>
    <w:r w:rsidRPr="00DE59D1">
      <w:rPr>
        <w:rFonts w:eastAsia="Tahoma"/>
        <w:bCs/>
        <w:color w:val="000000" w:themeColor="text1"/>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7B64" w:rsidRDefault="006C7B64" w:rsidP="00B24853">
    <w:pPr>
      <w:pBdr>
        <w:top w:val="nil"/>
        <w:left w:val="nil"/>
        <w:bottom w:val="nil"/>
        <w:right w:val="nil"/>
        <w:between w:val="nil"/>
      </w:pBdr>
      <w:tabs>
        <w:tab w:val="center" w:pos="4680"/>
        <w:tab w:val="right" w:pos="9360"/>
      </w:tabs>
      <w:spacing w:line="240" w:lineRule="auto"/>
      <w:ind w:leftChars="0" w:left="0" w:firstLineChars="0"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975"/>
    <w:multiLevelType w:val="hybridMultilevel"/>
    <w:tmpl w:val="B27E4154"/>
    <w:lvl w:ilvl="0" w:tplc="A0A2F8E0">
      <w:start w:val="1"/>
      <w:numFmt w:val="upperLetter"/>
      <w:lvlText w:val="%1."/>
      <w:lvlJc w:val="left"/>
      <w:pPr>
        <w:ind w:left="720" w:hanging="360"/>
      </w:pPr>
      <w:rPr>
        <w:rFonts w:hint="default"/>
      </w:rPr>
    </w:lvl>
    <w:lvl w:ilvl="1" w:tplc="54F6F9F8" w:tentative="1">
      <w:start w:val="1"/>
      <w:numFmt w:val="lowerLetter"/>
      <w:lvlText w:val="%2."/>
      <w:lvlJc w:val="left"/>
      <w:pPr>
        <w:ind w:left="1440" w:hanging="360"/>
      </w:pPr>
    </w:lvl>
    <w:lvl w:ilvl="2" w:tplc="3F0ADC76" w:tentative="1">
      <w:start w:val="1"/>
      <w:numFmt w:val="lowerRoman"/>
      <w:lvlText w:val="%3."/>
      <w:lvlJc w:val="right"/>
      <w:pPr>
        <w:ind w:left="2160" w:hanging="180"/>
      </w:pPr>
    </w:lvl>
    <w:lvl w:ilvl="3" w:tplc="185612DC" w:tentative="1">
      <w:start w:val="1"/>
      <w:numFmt w:val="decimal"/>
      <w:lvlText w:val="%4."/>
      <w:lvlJc w:val="left"/>
      <w:pPr>
        <w:ind w:left="2880" w:hanging="360"/>
      </w:pPr>
    </w:lvl>
    <w:lvl w:ilvl="4" w:tplc="CED6631C" w:tentative="1">
      <w:start w:val="1"/>
      <w:numFmt w:val="lowerLetter"/>
      <w:lvlText w:val="%5."/>
      <w:lvlJc w:val="left"/>
      <w:pPr>
        <w:ind w:left="3600" w:hanging="360"/>
      </w:pPr>
    </w:lvl>
    <w:lvl w:ilvl="5" w:tplc="9A98572E" w:tentative="1">
      <w:start w:val="1"/>
      <w:numFmt w:val="lowerRoman"/>
      <w:lvlText w:val="%6."/>
      <w:lvlJc w:val="right"/>
      <w:pPr>
        <w:ind w:left="4320" w:hanging="180"/>
      </w:pPr>
    </w:lvl>
    <w:lvl w:ilvl="6" w:tplc="0F7EC1A0" w:tentative="1">
      <w:start w:val="1"/>
      <w:numFmt w:val="decimal"/>
      <w:lvlText w:val="%7."/>
      <w:lvlJc w:val="left"/>
      <w:pPr>
        <w:ind w:left="5040" w:hanging="360"/>
      </w:pPr>
    </w:lvl>
    <w:lvl w:ilvl="7" w:tplc="8B0E03A4" w:tentative="1">
      <w:start w:val="1"/>
      <w:numFmt w:val="lowerLetter"/>
      <w:lvlText w:val="%8."/>
      <w:lvlJc w:val="left"/>
      <w:pPr>
        <w:ind w:left="5760" w:hanging="360"/>
      </w:pPr>
    </w:lvl>
    <w:lvl w:ilvl="8" w:tplc="1ADCF01E" w:tentative="1">
      <w:start w:val="1"/>
      <w:numFmt w:val="lowerRoman"/>
      <w:lvlText w:val="%9."/>
      <w:lvlJc w:val="right"/>
      <w:pPr>
        <w:ind w:left="6480" w:hanging="180"/>
      </w:pPr>
    </w:lvl>
  </w:abstractNum>
  <w:abstractNum w:abstractNumId="1" w15:restartNumberingAfterBreak="0">
    <w:nsid w:val="0A8E1AF8"/>
    <w:multiLevelType w:val="hybridMultilevel"/>
    <w:tmpl w:val="490CD650"/>
    <w:lvl w:ilvl="0" w:tplc="E3DE525E">
      <w:start w:val="1"/>
      <w:numFmt w:val="decimal"/>
      <w:lvlText w:val="%1."/>
      <w:lvlJc w:val="left"/>
      <w:pPr>
        <w:ind w:left="1080" w:hanging="360"/>
      </w:pPr>
      <w:rPr>
        <w:rFonts w:hint="default"/>
      </w:rPr>
    </w:lvl>
    <w:lvl w:ilvl="1" w:tplc="40789A4C" w:tentative="1">
      <w:start w:val="1"/>
      <w:numFmt w:val="lowerLetter"/>
      <w:lvlText w:val="%2."/>
      <w:lvlJc w:val="left"/>
      <w:pPr>
        <w:ind w:left="1800" w:hanging="360"/>
      </w:pPr>
    </w:lvl>
    <w:lvl w:ilvl="2" w:tplc="E586C62C" w:tentative="1">
      <w:start w:val="1"/>
      <w:numFmt w:val="lowerRoman"/>
      <w:lvlText w:val="%3."/>
      <w:lvlJc w:val="right"/>
      <w:pPr>
        <w:ind w:left="2520" w:hanging="180"/>
      </w:pPr>
    </w:lvl>
    <w:lvl w:ilvl="3" w:tplc="2746FD32" w:tentative="1">
      <w:start w:val="1"/>
      <w:numFmt w:val="decimal"/>
      <w:lvlText w:val="%4."/>
      <w:lvlJc w:val="left"/>
      <w:pPr>
        <w:ind w:left="3240" w:hanging="360"/>
      </w:pPr>
    </w:lvl>
    <w:lvl w:ilvl="4" w:tplc="FE7A38FA" w:tentative="1">
      <w:start w:val="1"/>
      <w:numFmt w:val="lowerLetter"/>
      <w:lvlText w:val="%5."/>
      <w:lvlJc w:val="left"/>
      <w:pPr>
        <w:ind w:left="3960" w:hanging="360"/>
      </w:pPr>
    </w:lvl>
    <w:lvl w:ilvl="5" w:tplc="5F8E3666" w:tentative="1">
      <w:start w:val="1"/>
      <w:numFmt w:val="lowerRoman"/>
      <w:lvlText w:val="%6."/>
      <w:lvlJc w:val="right"/>
      <w:pPr>
        <w:ind w:left="4680" w:hanging="180"/>
      </w:pPr>
    </w:lvl>
    <w:lvl w:ilvl="6" w:tplc="60E253D2" w:tentative="1">
      <w:start w:val="1"/>
      <w:numFmt w:val="decimal"/>
      <w:lvlText w:val="%7."/>
      <w:lvlJc w:val="left"/>
      <w:pPr>
        <w:ind w:left="5400" w:hanging="360"/>
      </w:pPr>
    </w:lvl>
    <w:lvl w:ilvl="7" w:tplc="39C498CA" w:tentative="1">
      <w:start w:val="1"/>
      <w:numFmt w:val="lowerLetter"/>
      <w:lvlText w:val="%8."/>
      <w:lvlJc w:val="left"/>
      <w:pPr>
        <w:ind w:left="6120" w:hanging="360"/>
      </w:pPr>
    </w:lvl>
    <w:lvl w:ilvl="8" w:tplc="27485438" w:tentative="1">
      <w:start w:val="1"/>
      <w:numFmt w:val="lowerRoman"/>
      <w:lvlText w:val="%9."/>
      <w:lvlJc w:val="right"/>
      <w:pPr>
        <w:ind w:left="6840" w:hanging="180"/>
      </w:pPr>
    </w:lvl>
  </w:abstractNum>
  <w:abstractNum w:abstractNumId="2" w15:restartNumberingAfterBreak="0">
    <w:nsid w:val="13722AE3"/>
    <w:multiLevelType w:val="hybridMultilevel"/>
    <w:tmpl w:val="E16A4BCC"/>
    <w:lvl w:ilvl="0" w:tplc="CD0AB618">
      <w:start w:val="1"/>
      <w:numFmt w:val="upperLetter"/>
      <w:lvlText w:val="%1."/>
      <w:lvlJc w:val="left"/>
      <w:pPr>
        <w:ind w:left="720" w:hanging="360"/>
      </w:pPr>
    </w:lvl>
    <w:lvl w:ilvl="1" w:tplc="37BC8084" w:tentative="1">
      <w:start w:val="1"/>
      <w:numFmt w:val="lowerLetter"/>
      <w:lvlText w:val="%2."/>
      <w:lvlJc w:val="left"/>
      <w:pPr>
        <w:ind w:left="1440" w:hanging="360"/>
      </w:pPr>
    </w:lvl>
    <w:lvl w:ilvl="2" w:tplc="A4B2D828" w:tentative="1">
      <w:start w:val="1"/>
      <w:numFmt w:val="lowerRoman"/>
      <w:lvlText w:val="%3."/>
      <w:lvlJc w:val="right"/>
      <w:pPr>
        <w:ind w:left="2160" w:hanging="180"/>
      </w:pPr>
    </w:lvl>
    <w:lvl w:ilvl="3" w:tplc="2B249132" w:tentative="1">
      <w:start w:val="1"/>
      <w:numFmt w:val="decimal"/>
      <w:lvlText w:val="%4."/>
      <w:lvlJc w:val="left"/>
      <w:pPr>
        <w:ind w:left="2880" w:hanging="360"/>
      </w:pPr>
    </w:lvl>
    <w:lvl w:ilvl="4" w:tplc="C9DC9C6E" w:tentative="1">
      <w:start w:val="1"/>
      <w:numFmt w:val="lowerLetter"/>
      <w:lvlText w:val="%5."/>
      <w:lvlJc w:val="left"/>
      <w:pPr>
        <w:ind w:left="3600" w:hanging="360"/>
      </w:pPr>
    </w:lvl>
    <w:lvl w:ilvl="5" w:tplc="D078078A" w:tentative="1">
      <w:start w:val="1"/>
      <w:numFmt w:val="lowerRoman"/>
      <w:lvlText w:val="%6."/>
      <w:lvlJc w:val="right"/>
      <w:pPr>
        <w:ind w:left="4320" w:hanging="180"/>
      </w:pPr>
    </w:lvl>
    <w:lvl w:ilvl="6" w:tplc="7DE89410" w:tentative="1">
      <w:start w:val="1"/>
      <w:numFmt w:val="decimal"/>
      <w:lvlText w:val="%7."/>
      <w:lvlJc w:val="left"/>
      <w:pPr>
        <w:ind w:left="5040" w:hanging="360"/>
      </w:pPr>
    </w:lvl>
    <w:lvl w:ilvl="7" w:tplc="D0F49B42" w:tentative="1">
      <w:start w:val="1"/>
      <w:numFmt w:val="lowerLetter"/>
      <w:lvlText w:val="%8."/>
      <w:lvlJc w:val="left"/>
      <w:pPr>
        <w:ind w:left="5760" w:hanging="360"/>
      </w:pPr>
    </w:lvl>
    <w:lvl w:ilvl="8" w:tplc="A42A8CA0" w:tentative="1">
      <w:start w:val="1"/>
      <w:numFmt w:val="lowerRoman"/>
      <w:lvlText w:val="%9."/>
      <w:lvlJc w:val="right"/>
      <w:pPr>
        <w:ind w:left="6480" w:hanging="180"/>
      </w:pPr>
    </w:lvl>
  </w:abstractNum>
  <w:abstractNum w:abstractNumId="3" w15:restartNumberingAfterBreak="0">
    <w:nsid w:val="186D4A84"/>
    <w:multiLevelType w:val="hybridMultilevel"/>
    <w:tmpl w:val="E5466F06"/>
    <w:lvl w:ilvl="0" w:tplc="40126408">
      <w:start w:val="1"/>
      <w:numFmt w:val="upperLetter"/>
      <w:lvlText w:val="%1."/>
      <w:lvlJc w:val="left"/>
      <w:pPr>
        <w:ind w:left="900" w:hanging="360"/>
      </w:pPr>
      <w:rPr>
        <w:rFonts w:ascii="Times New Roman" w:eastAsia="Times New Roman" w:hAnsi="Times New Roman" w:cs="Times New Roman" w:hint="default"/>
        <w:b/>
        <w:bCs/>
        <w:i w:val="0"/>
        <w:iCs w:val="0"/>
        <w:spacing w:val="-2"/>
        <w:w w:val="99"/>
        <w:sz w:val="24"/>
        <w:szCs w:val="24"/>
        <w:lang w:val="id" w:eastAsia="en-US" w:bidi="ar-SA"/>
      </w:rPr>
    </w:lvl>
    <w:lvl w:ilvl="1" w:tplc="FED023A4">
      <w:start w:val="1"/>
      <w:numFmt w:val="decimal"/>
      <w:lvlText w:val="%2."/>
      <w:lvlJc w:val="left"/>
      <w:pPr>
        <w:ind w:left="1260" w:hanging="360"/>
      </w:pPr>
      <w:rPr>
        <w:rFonts w:ascii="Times New Roman" w:eastAsia="Times New Roman" w:hAnsi="Times New Roman" w:cs="Times New Roman" w:hint="default"/>
        <w:b w:val="0"/>
        <w:bCs w:val="0"/>
        <w:i w:val="0"/>
        <w:iCs w:val="0"/>
        <w:w w:val="100"/>
        <w:sz w:val="24"/>
        <w:szCs w:val="24"/>
        <w:lang w:val="id" w:eastAsia="en-US" w:bidi="ar-SA"/>
      </w:rPr>
    </w:lvl>
    <w:lvl w:ilvl="2" w:tplc="C4FA5488">
      <w:numFmt w:val="bullet"/>
      <w:lvlText w:val="•"/>
      <w:lvlJc w:val="left"/>
      <w:pPr>
        <w:ind w:left="1260" w:hanging="360"/>
      </w:pPr>
      <w:rPr>
        <w:rFonts w:hint="default"/>
        <w:lang w:val="id" w:eastAsia="en-US" w:bidi="ar-SA"/>
      </w:rPr>
    </w:lvl>
    <w:lvl w:ilvl="3" w:tplc="70BE9BDC">
      <w:numFmt w:val="bullet"/>
      <w:lvlText w:val="•"/>
      <w:lvlJc w:val="left"/>
      <w:pPr>
        <w:ind w:left="1086" w:hanging="360"/>
      </w:pPr>
      <w:rPr>
        <w:rFonts w:hint="default"/>
        <w:lang w:val="id" w:eastAsia="en-US" w:bidi="ar-SA"/>
      </w:rPr>
    </w:lvl>
    <w:lvl w:ilvl="4" w:tplc="D44CE1C0">
      <w:numFmt w:val="bullet"/>
      <w:lvlText w:val="•"/>
      <w:lvlJc w:val="left"/>
      <w:pPr>
        <w:ind w:left="913" w:hanging="360"/>
      </w:pPr>
      <w:rPr>
        <w:rFonts w:hint="default"/>
        <w:lang w:val="id" w:eastAsia="en-US" w:bidi="ar-SA"/>
      </w:rPr>
    </w:lvl>
    <w:lvl w:ilvl="5" w:tplc="17DE082A">
      <w:numFmt w:val="bullet"/>
      <w:lvlText w:val="•"/>
      <w:lvlJc w:val="left"/>
      <w:pPr>
        <w:ind w:left="740" w:hanging="360"/>
      </w:pPr>
      <w:rPr>
        <w:rFonts w:hint="default"/>
        <w:lang w:val="id" w:eastAsia="en-US" w:bidi="ar-SA"/>
      </w:rPr>
    </w:lvl>
    <w:lvl w:ilvl="6" w:tplc="B03CA40E">
      <w:numFmt w:val="bullet"/>
      <w:lvlText w:val="•"/>
      <w:lvlJc w:val="left"/>
      <w:pPr>
        <w:ind w:left="567" w:hanging="360"/>
      </w:pPr>
      <w:rPr>
        <w:rFonts w:hint="default"/>
        <w:lang w:val="id" w:eastAsia="en-US" w:bidi="ar-SA"/>
      </w:rPr>
    </w:lvl>
    <w:lvl w:ilvl="7" w:tplc="5FE08A34">
      <w:numFmt w:val="bullet"/>
      <w:lvlText w:val="•"/>
      <w:lvlJc w:val="left"/>
      <w:pPr>
        <w:ind w:left="394" w:hanging="360"/>
      </w:pPr>
      <w:rPr>
        <w:rFonts w:hint="default"/>
        <w:lang w:val="id" w:eastAsia="en-US" w:bidi="ar-SA"/>
      </w:rPr>
    </w:lvl>
    <w:lvl w:ilvl="8" w:tplc="7CAC3A94">
      <w:numFmt w:val="bullet"/>
      <w:lvlText w:val="•"/>
      <w:lvlJc w:val="left"/>
      <w:pPr>
        <w:ind w:left="221" w:hanging="360"/>
      </w:pPr>
      <w:rPr>
        <w:rFonts w:hint="default"/>
        <w:lang w:val="id" w:eastAsia="en-US" w:bidi="ar-SA"/>
      </w:rPr>
    </w:lvl>
  </w:abstractNum>
  <w:abstractNum w:abstractNumId="4" w15:restartNumberingAfterBreak="0">
    <w:nsid w:val="1FBB7517"/>
    <w:multiLevelType w:val="hybridMultilevel"/>
    <w:tmpl w:val="93362342"/>
    <w:lvl w:ilvl="0" w:tplc="C504E254">
      <w:start w:val="1"/>
      <w:numFmt w:val="decimal"/>
      <w:lvlText w:val="%1."/>
      <w:lvlJc w:val="left"/>
      <w:pPr>
        <w:ind w:left="644" w:hanging="360"/>
      </w:pPr>
    </w:lvl>
    <w:lvl w:ilvl="1" w:tplc="5CEC3506" w:tentative="1">
      <w:start w:val="1"/>
      <w:numFmt w:val="lowerLetter"/>
      <w:lvlText w:val="%2."/>
      <w:lvlJc w:val="left"/>
      <w:pPr>
        <w:ind w:left="1980" w:hanging="360"/>
      </w:pPr>
    </w:lvl>
    <w:lvl w:ilvl="2" w:tplc="8708C832" w:tentative="1">
      <w:start w:val="1"/>
      <w:numFmt w:val="lowerRoman"/>
      <w:lvlText w:val="%3."/>
      <w:lvlJc w:val="right"/>
      <w:pPr>
        <w:ind w:left="2700" w:hanging="180"/>
      </w:pPr>
    </w:lvl>
    <w:lvl w:ilvl="3" w:tplc="D8EC6A6E" w:tentative="1">
      <w:start w:val="1"/>
      <w:numFmt w:val="decimal"/>
      <w:lvlText w:val="%4."/>
      <w:lvlJc w:val="left"/>
      <w:pPr>
        <w:ind w:left="3420" w:hanging="360"/>
      </w:pPr>
    </w:lvl>
    <w:lvl w:ilvl="4" w:tplc="77767F86" w:tentative="1">
      <w:start w:val="1"/>
      <w:numFmt w:val="lowerLetter"/>
      <w:lvlText w:val="%5."/>
      <w:lvlJc w:val="left"/>
      <w:pPr>
        <w:ind w:left="4140" w:hanging="360"/>
      </w:pPr>
    </w:lvl>
    <w:lvl w:ilvl="5" w:tplc="D1A2D0F8" w:tentative="1">
      <w:start w:val="1"/>
      <w:numFmt w:val="lowerRoman"/>
      <w:lvlText w:val="%6."/>
      <w:lvlJc w:val="right"/>
      <w:pPr>
        <w:ind w:left="4860" w:hanging="180"/>
      </w:pPr>
    </w:lvl>
    <w:lvl w:ilvl="6" w:tplc="44865470" w:tentative="1">
      <w:start w:val="1"/>
      <w:numFmt w:val="decimal"/>
      <w:lvlText w:val="%7."/>
      <w:lvlJc w:val="left"/>
      <w:pPr>
        <w:ind w:left="5580" w:hanging="360"/>
      </w:pPr>
    </w:lvl>
    <w:lvl w:ilvl="7" w:tplc="BF943E5C" w:tentative="1">
      <w:start w:val="1"/>
      <w:numFmt w:val="lowerLetter"/>
      <w:lvlText w:val="%8."/>
      <w:lvlJc w:val="left"/>
      <w:pPr>
        <w:ind w:left="6300" w:hanging="360"/>
      </w:pPr>
    </w:lvl>
    <w:lvl w:ilvl="8" w:tplc="E1FACE64" w:tentative="1">
      <w:start w:val="1"/>
      <w:numFmt w:val="lowerRoman"/>
      <w:lvlText w:val="%9."/>
      <w:lvlJc w:val="right"/>
      <w:pPr>
        <w:ind w:left="7020" w:hanging="180"/>
      </w:pPr>
    </w:lvl>
  </w:abstractNum>
  <w:abstractNum w:abstractNumId="5" w15:restartNumberingAfterBreak="0">
    <w:nsid w:val="24244087"/>
    <w:multiLevelType w:val="hybridMultilevel"/>
    <w:tmpl w:val="57FEFE56"/>
    <w:lvl w:ilvl="0" w:tplc="E3F60406">
      <w:start w:val="3"/>
      <w:numFmt w:val="upperLetter"/>
      <w:lvlText w:val="%1."/>
      <w:lvlJc w:val="left"/>
      <w:pPr>
        <w:ind w:left="720" w:hanging="360"/>
      </w:pPr>
      <w:rPr>
        <w:rFonts w:hint="default"/>
        <w:b w:val="0"/>
        <w:bCs w:val="0"/>
      </w:rPr>
    </w:lvl>
    <w:lvl w:ilvl="1" w:tplc="A4305DA6" w:tentative="1">
      <w:start w:val="1"/>
      <w:numFmt w:val="lowerLetter"/>
      <w:lvlText w:val="%2."/>
      <w:lvlJc w:val="left"/>
      <w:pPr>
        <w:ind w:left="1440" w:hanging="360"/>
      </w:pPr>
    </w:lvl>
    <w:lvl w:ilvl="2" w:tplc="0B1ECAA4" w:tentative="1">
      <w:start w:val="1"/>
      <w:numFmt w:val="lowerRoman"/>
      <w:lvlText w:val="%3."/>
      <w:lvlJc w:val="right"/>
      <w:pPr>
        <w:ind w:left="2160" w:hanging="180"/>
      </w:pPr>
    </w:lvl>
    <w:lvl w:ilvl="3" w:tplc="A168BE42" w:tentative="1">
      <w:start w:val="1"/>
      <w:numFmt w:val="decimal"/>
      <w:lvlText w:val="%4."/>
      <w:lvlJc w:val="left"/>
      <w:pPr>
        <w:ind w:left="2880" w:hanging="360"/>
      </w:pPr>
    </w:lvl>
    <w:lvl w:ilvl="4" w:tplc="7278CE00" w:tentative="1">
      <w:start w:val="1"/>
      <w:numFmt w:val="lowerLetter"/>
      <w:lvlText w:val="%5."/>
      <w:lvlJc w:val="left"/>
      <w:pPr>
        <w:ind w:left="3600" w:hanging="360"/>
      </w:pPr>
    </w:lvl>
    <w:lvl w:ilvl="5" w:tplc="598CE100" w:tentative="1">
      <w:start w:val="1"/>
      <w:numFmt w:val="lowerRoman"/>
      <w:lvlText w:val="%6."/>
      <w:lvlJc w:val="right"/>
      <w:pPr>
        <w:ind w:left="4320" w:hanging="180"/>
      </w:pPr>
    </w:lvl>
    <w:lvl w:ilvl="6" w:tplc="5E5EB950" w:tentative="1">
      <w:start w:val="1"/>
      <w:numFmt w:val="decimal"/>
      <w:lvlText w:val="%7."/>
      <w:lvlJc w:val="left"/>
      <w:pPr>
        <w:ind w:left="5040" w:hanging="360"/>
      </w:pPr>
    </w:lvl>
    <w:lvl w:ilvl="7" w:tplc="D9341C4E" w:tentative="1">
      <w:start w:val="1"/>
      <w:numFmt w:val="lowerLetter"/>
      <w:lvlText w:val="%8."/>
      <w:lvlJc w:val="left"/>
      <w:pPr>
        <w:ind w:left="5760" w:hanging="360"/>
      </w:pPr>
    </w:lvl>
    <w:lvl w:ilvl="8" w:tplc="4A6EC598" w:tentative="1">
      <w:start w:val="1"/>
      <w:numFmt w:val="lowerRoman"/>
      <w:lvlText w:val="%9."/>
      <w:lvlJc w:val="right"/>
      <w:pPr>
        <w:ind w:left="6480" w:hanging="180"/>
      </w:pPr>
    </w:lvl>
  </w:abstractNum>
  <w:abstractNum w:abstractNumId="6" w15:restartNumberingAfterBreak="0">
    <w:nsid w:val="306B32C0"/>
    <w:multiLevelType w:val="hybridMultilevel"/>
    <w:tmpl w:val="11EE1DBC"/>
    <w:lvl w:ilvl="0" w:tplc="088C4BEC">
      <w:start w:val="1"/>
      <w:numFmt w:val="upperLetter"/>
      <w:lvlText w:val="%1."/>
      <w:lvlJc w:val="left"/>
      <w:pPr>
        <w:ind w:left="720" w:hanging="360"/>
      </w:pPr>
      <w:rPr>
        <w:rFonts w:hint="default"/>
        <w:b w:val="0"/>
        <w:bCs w:val="0"/>
      </w:rPr>
    </w:lvl>
    <w:lvl w:ilvl="1" w:tplc="18643794" w:tentative="1">
      <w:start w:val="1"/>
      <w:numFmt w:val="lowerLetter"/>
      <w:lvlText w:val="%2."/>
      <w:lvlJc w:val="left"/>
      <w:pPr>
        <w:ind w:left="1440" w:hanging="360"/>
      </w:pPr>
    </w:lvl>
    <w:lvl w:ilvl="2" w:tplc="B290B98E" w:tentative="1">
      <w:start w:val="1"/>
      <w:numFmt w:val="lowerRoman"/>
      <w:lvlText w:val="%3."/>
      <w:lvlJc w:val="right"/>
      <w:pPr>
        <w:ind w:left="2160" w:hanging="180"/>
      </w:pPr>
    </w:lvl>
    <w:lvl w:ilvl="3" w:tplc="FD121ED0" w:tentative="1">
      <w:start w:val="1"/>
      <w:numFmt w:val="decimal"/>
      <w:lvlText w:val="%4."/>
      <w:lvlJc w:val="left"/>
      <w:pPr>
        <w:ind w:left="2880" w:hanging="360"/>
      </w:pPr>
    </w:lvl>
    <w:lvl w:ilvl="4" w:tplc="8EA62030" w:tentative="1">
      <w:start w:val="1"/>
      <w:numFmt w:val="lowerLetter"/>
      <w:lvlText w:val="%5."/>
      <w:lvlJc w:val="left"/>
      <w:pPr>
        <w:ind w:left="3600" w:hanging="360"/>
      </w:pPr>
    </w:lvl>
    <w:lvl w:ilvl="5" w:tplc="36B4148C" w:tentative="1">
      <w:start w:val="1"/>
      <w:numFmt w:val="lowerRoman"/>
      <w:lvlText w:val="%6."/>
      <w:lvlJc w:val="right"/>
      <w:pPr>
        <w:ind w:left="4320" w:hanging="180"/>
      </w:pPr>
    </w:lvl>
    <w:lvl w:ilvl="6" w:tplc="BC5A6E60" w:tentative="1">
      <w:start w:val="1"/>
      <w:numFmt w:val="decimal"/>
      <w:lvlText w:val="%7."/>
      <w:lvlJc w:val="left"/>
      <w:pPr>
        <w:ind w:left="5040" w:hanging="360"/>
      </w:pPr>
    </w:lvl>
    <w:lvl w:ilvl="7" w:tplc="B21441CC" w:tentative="1">
      <w:start w:val="1"/>
      <w:numFmt w:val="lowerLetter"/>
      <w:lvlText w:val="%8."/>
      <w:lvlJc w:val="left"/>
      <w:pPr>
        <w:ind w:left="5760" w:hanging="360"/>
      </w:pPr>
    </w:lvl>
    <w:lvl w:ilvl="8" w:tplc="9EDE4A4C" w:tentative="1">
      <w:start w:val="1"/>
      <w:numFmt w:val="lowerRoman"/>
      <w:lvlText w:val="%9."/>
      <w:lvlJc w:val="right"/>
      <w:pPr>
        <w:ind w:left="6480" w:hanging="180"/>
      </w:pPr>
    </w:lvl>
  </w:abstractNum>
  <w:abstractNum w:abstractNumId="7" w15:restartNumberingAfterBreak="0">
    <w:nsid w:val="3F1D7366"/>
    <w:multiLevelType w:val="hybridMultilevel"/>
    <w:tmpl w:val="436299DA"/>
    <w:lvl w:ilvl="0" w:tplc="212A9636">
      <w:start w:val="1"/>
      <w:numFmt w:val="upperLetter"/>
      <w:lvlText w:val="%1."/>
      <w:lvlJc w:val="left"/>
      <w:pPr>
        <w:ind w:left="1173" w:hanging="360"/>
      </w:pPr>
      <w:rPr>
        <w:b/>
        <w:bCs w:val="0"/>
      </w:rPr>
    </w:lvl>
    <w:lvl w:ilvl="1" w:tplc="25348606" w:tentative="1">
      <w:start w:val="1"/>
      <w:numFmt w:val="lowerLetter"/>
      <w:lvlText w:val="%2."/>
      <w:lvlJc w:val="left"/>
      <w:pPr>
        <w:ind w:left="1893" w:hanging="360"/>
      </w:pPr>
    </w:lvl>
    <w:lvl w:ilvl="2" w:tplc="0C66053C" w:tentative="1">
      <w:start w:val="1"/>
      <w:numFmt w:val="lowerRoman"/>
      <w:lvlText w:val="%3."/>
      <w:lvlJc w:val="right"/>
      <w:pPr>
        <w:ind w:left="2613" w:hanging="180"/>
      </w:pPr>
    </w:lvl>
    <w:lvl w:ilvl="3" w:tplc="3076A54A" w:tentative="1">
      <w:start w:val="1"/>
      <w:numFmt w:val="decimal"/>
      <w:lvlText w:val="%4."/>
      <w:lvlJc w:val="left"/>
      <w:pPr>
        <w:ind w:left="3333" w:hanging="360"/>
      </w:pPr>
    </w:lvl>
    <w:lvl w:ilvl="4" w:tplc="A9DA7B7C" w:tentative="1">
      <w:start w:val="1"/>
      <w:numFmt w:val="lowerLetter"/>
      <w:lvlText w:val="%5."/>
      <w:lvlJc w:val="left"/>
      <w:pPr>
        <w:ind w:left="4053" w:hanging="360"/>
      </w:pPr>
    </w:lvl>
    <w:lvl w:ilvl="5" w:tplc="B1B0329E" w:tentative="1">
      <w:start w:val="1"/>
      <w:numFmt w:val="lowerRoman"/>
      <w:lvlText w:val="%6."/>
      <w:lvlJc w:val="right"/>
      <w:pPr>
        <w:ind w:left="4773" w:hanging="180"/>
      </w:pPr>
    </w:lvl>
    <w:lvl w:ilvl="6" w:tplc="3B4C364E" w:tentative="1">
      <w:start w:val="1"/>
      <w:numFmt w:val="decimal"/>
      <w:lvlText w:val="%7."/>
      <w:lvlJc w:val="left"/>
      <w:pPr>
        <w:ind w:left="5493" w:hanging="360"/>
      </w:pPr>
    </w:lvl>
    <w:lvl w:ilvl="7" w:tplc="A53EA890" w:tentative="1">
      <w:start w:val="1"/>
      <w:numFmt w:val="lowerLetter"/>
      <w:lvlText w:val="%8."/>
      <w:lvlJc w:val="left"/>
      <w:pPr>
        <w:ind w:left="6213" w:hanging="360"/>
      </w:pPr>
    </w:lvl>
    <w:lvl w:ilvl="8" w:tplc="35F68834" w:tentative="1">
      <w:start w:val="1"/>
      <w:numFmt w:val="lowerRoman"/>
      <w:lvlText w:val="%9."/>
      <w:lvlJc w:val="right"/>
      <w:pPr>
        <w:ind w:left="6933" w:hanging="180"/>
      </w:pPr>
    </w:lvl>
  </w:abstractNum>
  <w:abstractNum w:abstractNumId="8" w15:restartNumberingAfterBreak="0">
    <w:nsid w:val="49C96E8E"/>
    <w:multiLevelType w:val="hybridMultilevel"/>
    <w:tmpl w:val="CFACA8F4"/>
    <w:lvl w:ilvl="0" w:tplc="D14E3A58">
      <w:start w:val="1"/>
      <w:numFmt w:val="decimal"/>
      <w:lvlText w:val="%1."/>
      <w:lvlJc w:val="left"/>
      <w:pPr>
        <w:ind w:left="578" w:hanging="360"/>
      </w:pPr>
      <w:rPr>
        <w:b w:val="0"/>
        <w:bCs w:val="0"/>
      </w:rPr>
    </w:lvl>
    <w:lvl w:ilvl="1" w:tplc="B05085EA" w:tentative="1">
      <w:start w:val="1"/>
      <w:numFmt w:val="lowerLetter"/>
      <w:lvlText w:val="%2."/>
      <w:lvlJc w:val="left"/>
      <w:pPr>
        <w:ind w:left="1298" w:hanging="360"/>
      </w:pPr>
    </w:lvl>
    <w:lvl w:ilvl="2" w:tplc="FDD6903E" w:tentative="1">
      <w:start w:val="1"/>
      <w:numFmt w:val="lowerRoman"/>
      <w:lvlText w:val="%3."/>
      <w:lvlJc w:val="right"/>
      <w:pPr>
        <w:ind w:left="2018" w:hanging="180"/>
      </w:pPr>
    </w:lvl>
    <w:lvl w:ilvl="3" w:tplc="3C8C147A" w:tentative="1">
      <w:start w:val="1"/>
      <w:numFmt w:val="decimal"/>
      <w:lvlText w:val="%4."/>
      <w:lvlJc w:val="left"/>
      <w:pPr>
        <w:ind w:left="2738" w:hanging="360"/>
      </w:pPr>
    </w:lvl>
    <w:lvl w:ilvl="4" w:tplc="0A1E60E8" w:tentative="1">
      <w:start w:val="1"/>
      <w:numFmt w:val="lowerLetter"/>
      <w:lvlText w:val="%5."/>
      <w:lvlJc w:val="left"/>
      <w:pPr>
        <w:ind w:left="3458" w:hanging="360"/>
      </w:pPr>
    </w:lvl>
    <w:lvl w:ilvl="5" w:tplc="FB709BA8" w:tentative="1">
      <w:start w:val="1"/>
      <w:numFmt w:val="lowerRoman"/>
      <w:lvlText w:val="%6."/>
      <w:lvlJc w:val="right"/>
      <w:pPr>
        <w:ind w:left="4178" w:hanging="180"/>
      </w:pPr>
    </w:lvl>
    <w:lvl w:ilvl="6" w:tplc="E8385D1C" w:tentative="1">
      <w:start w:val="1"/>
      <w:numFmt w:val="decimal"/>
      <w:lvlText w:val="%7."/>
      <w:lvlJc w:val="left"/>
      <w:pPr>
        <w:ind w:left="4898" w:hanging="360"/>
      </w:pPr>
    </w:lvl>
    <w:lvl w:ilvl="7" w:tplc="6DB663F4" w:tentative="1">
      <w:start w:val="1"/>
      <w:numFmt w:val="lowerLetter"/>
      <w:lvlText w:val="%8."/>
      <w:lvlJc w:val="left"/>
      <w:pPr>
        <w:ind w:left="5618" w:hanging="360"/>
      </w:pPr>
    </w:lvl>
    <w:lvl w:ilvl="8" w:tplc="0DACD11E" w:tentative="1">
      <w:start w:val="1"/>
      <w:numFmt w:val="lowerRoman"/>
      <w:lvlText w:val="%9."/>
      <w:lvlJc w:val="right"/>
      <w:pPr>
        <w:ind w:left="6338" w:hanging="180"/>
      </w:pPr>
    </w:lvl>
  </w:abstractNum>
  <w:abstractNum w:abstractNumId="9" w15:restartNumberingAfterBreak="0">
    <w:nsid w:val="49CE361A"/>
    <w:multiLevelType w:val="hybridMultilevel"/>
    <w:tmpl w:val="A0AA2A24"/>
    <w:lvl w:ilvl="0" w:tplc="16308424">
      <w:start w:val="1"/>
      <w:numFmt w:val="decimal"/>
      <w:lvlText w:val="%1."/>
      <w:lvlJc w:val="left"/>
      <w:pPr>
        <w:ind w:left="968" w:hanging="360"/>
        <w:jc w:val="right"/>
      </w:pPr>
      <w:rPr>
        <w:rFonts w:ascii="Times New Roman" w:eastAsia="Times New Roman" w:hAnsi="Times New Roman" w:cs="Times New Roman" w:hint="default"/>
        <w:b w:val="0"/>
        <w:bCs w:val="0"/>
        <w:i w:val="0"/>
        <w:iCs w:val="0"/>
        <w:w w:val="100"/>
        <w:sz w:val="24"/>
        <w:szCs w:val="24"/>
        <w:lang w:val="id" w:eastAsia="en-US" w:bidi="ar-SA"/>
      </w:rPr>
    </w:lvl>
    <w:lvl w:ilvl="1" w:tplc="008A1B04">
      <w:numFmt w:val="bullet"/>
      <w:lvlText w:val="•"/>
      <w:lvlJc w:val="left"/>
      <w:pPr>
        <w:ind w:left="1338" w:hanging="360"/>
      </w:pPr>
      <w:rPr>
        <w:rFonts w:hint="default"/>
        <w:lang w:val="id" w:eastAsia="en-US" w:bidi="ar-SA"/>
      </w:rPr>
    </w:lvl>
    <w:lvl w:ilvl="2" w:tplc="D35E360A">
      <w:numFmt w:val="bullet"/>
      <w:lvlText w:val="•"/>
      <w:lvlJc w:val="left"/>
      <w:pPr>
        <w:ind w:left="1717" w:hanging="360"/>
      </w:pPr>
      <w:rPr>
        <w:rFonts w:hint="default"/>
        <w:lang w:val="id" w:eastAsia="en-US" w:bidi="ar-SA"/>
      </w:rPr>
    </w:lvl>
    <w:lvl w:ilvl="3" w:tplc="88860328">
      <w:numFmt w:val="bullet"/>
      <w:lvlText w:val="•"/>
      <w:lvlJc w:val="left"/>
      <w:pPr>
        <w:ind w:left="2095" w:hanging="360"/>
      </w:pPr>
      <w:rPr>
        <w:rFonts w:hint="default"/>
        <w:lang w:val="id" w:eastAsia="en-US" w:bidi="ar-SA"/>
      </w:rPr>
    </w:lvl>
    <w:lvl w:ilvl="4" w:tplc="5590C63C">
      <w:numFmt w:val="bullet"/>
      <w:lvlText w:val="•"/>
      <w:lvlJc w:val="left"/>
      <w:pPr>
        <w:ind w:left="2474" w:hanging="360"/>
      </w:pPr>
      <w:rPr>
        <w:rFonts w:hint="default"/>
        <w:lang w:val="id" w:eastAsia="en-US" w:bidi="ar-SA"/>
      </w:rPr>
    </w:lvl>
    <w:lvl w:ilvl="5" w:tplc="6684341E">
      <w:numFmt w:val="bullet"/>
      <w:lvlText w:val="•"/>
      <w:lvlJc w:val="left"/>
      <w:pPr>
        <w:ind w:left="2852" w:hanging="360"/>
      </w:pPr>
      <w:rPr>
        <w:rFonts w:hint="default"/>
        <w:lang w:val="id" w:eastAsia="en-US" w:bidi="ar-SA"/>
      </w:rPr>
    </w:lvl>
    <w:lvl w:ilvl="6" w:tplc="E45644BA">
      <w:numFmt w:val="bullet"/>
      <w:lvlText w:val="•"/>
      <w:lvlJc w:val="left"/>
      <w:pPr>
        <w:ind w:left="3231" w:hanging="360"/>
      </w:pPr>
      <w:rPr>
        <w:rFonts w:hint="default"/>
        <w:lang w:val="id" w:eastAsia="en-US" w:bidi="ar-SA"/>
      </w:rPr>
    </w:lvl>
    <w:lvl w:ilvl="7" w:tplc="1FECED14">
      <w:numFmt w:val="bullet"/>
      <w:lvlText w:val="•"/>
      <w:lvlJc w:val="left"/>
      <w:pPr>
        <w:ind w:left="3609" w:hanging="360"/>
      </w:pPr>
      <w:rPr>
        <w:rFonts w:hint="default"/>
        <w:lang w:val="id" w:eastAsia="en-US" w:bidi="ar-SA"/>
      </w:rPr>
    </w:lvl>
    <w:lvl w:ilvl="8" w:tplc="A49A48A0">
      <w:numFmt w:val="bullet"/>
      <w:lvlText w:val="•"/>
      <w:lvlJc w:val="left"/>
      <w:pPr>
        <w:ind w:left="3988" w:hanging="360"/>
      </w:pPr>
      <w:rPr>
        <w:rFonts w:hint="default"/>
        <w:lang w:val="id" w:eastAsia="en-US" w:bidi="ar-SA"/>
      </w:rPr>
    </w:lvl>
  </w:abstractNum>
  <w:abstractNum w:abstractNumId="10" w15:restartNumberingAfterBreak="0">
    <w:nsid w:val="53A36C64"/>
    <w:multiLevelType w:val="hybridMultilevel"/>
    <w:tmpl w:val="D0A02F34"/>
    <w:lvl w:ilvl="0" w:tplc="0F5243FC">
      <w:start w:val="1"/>
      <w:numFmt w:val="upperLetter"/>
      <w:lvlText w:val="%1."/>
      <w:lvlJc w:val="left"/>
      <w:pPr>
        <w:ind w:left="360" w:hanging="360"/>
      </w:pPr>
      <w:rPr>
        <w:rFonts w:hint="default"/>
      </w:rPr>
    </w:lvl>
    <w:lvl w:ilvl="1" w:tplc="77EC008C">
      <w:start w:val="1"/>
      <w:numFmt w:val="lowerLetter"/>
      <w:lvlText w:val="%2."/>
      <w:lvlJc w:val="left"/>
      <w:pPr>
        <w:ind w:left="1440" w:hanging="360"/>
      </w:pPr>
    </w:lvl>
    <w:lvl w:ilvl="2" w:tplc="474A6C8C">
      <w:start w:val="1"/>
      <w:numFmt w:val="lowerRoman"/>
      <w:lvlText w:val="%3."/>
      <w:lvlJc w:val="right"/>
      <w:pPr>
        <w:ind w:left="2160" w:hanging="180"/>
      </w:pPr>
    </w:lvl>
    <w:lvl w:ilvl="3" w:tplc="B524B240">
      <w:start w:val="1"/>
      <w:numFmt w:val="decimal"/>
      <w:lvlText w:val="%4."/>
      <w:lvlJc w:val="left"/>
      <w:pPr>
        <w:ind w:left="2880" w:hanging="360"/>
      </w:pPr>
      <w:rPr>
        <w:rFonts w:hint="default"/>
      </w:rPr>
    </w:lvl>
    <w:lvl w:ilvl="4" w:tplc="CA443898">
      <w:start w:val="2"/>
      <w:numFmt w:val="decimal"/>
      <w:lvlText w:val="(%5"/>
      <w:lvlJc w:val="left"/>
      <w:pPr>
        <w:ind w:left="3600" w:hanging="360"/>
      </w:pPr>
      <w:rPr>
        <w:rFonts w:hint="default"/>
      </w:rPr>
    </w:lvl>
    <w:lvl w:ilvl="5" w:tplc="8DB00E8C">
      <w:start w:val="3"/>
      <w:numFmt w:val="bullet"/>
      <w:lvlText w:val="-"/>
      <w:lvlJc w:val="left"/>
      <w:pPr>
        <w:ind w:left="4500" w:hanging="360"/>
      </w:pPr>
      <w:rPr>
        <w:rFonts w:ascii="Calibri" w:eastAsiaTheme="minorHAnsi" w:hAnsi="Calibri" w:cs="Calibri" w:hint="default"/>
      </w:rPr>
    </w:lvl>
    <w:lvl w:ilvl="6" w:tplc="6D8CFA32" w:tentative="1">
      <w:start w:val="1"/>
      <w:numFmt w:val="decimal"/>
      <w:lvlText w:val="%7."/>
      <w:lvlJc w:val="left"/>
      <w:pPr>
        <w:ind w:left="5040" w:hanging="360"/>
      </w:pPr>
    </w:lvl>
    <w:lvl w:ilvl="7" w:tplc="1CC61BFE" w:tentative="1">
      <w:start w:val="1"/>
      <w:numFmt w:val="lowerLetter"/>
      <w:lvlText w:val="%8."/>
      <w:lvlJc w:val="left"/>
      <w:pPr>
        <w:ind w:left="5760" w:hanging="360"/>
      </w:pPr>
    </w:lvl>
    <w:lvl w:ilvl="8" w:tplc="586C96F0" w:tentative="1">
      <w:start w:val="1"/>
      <w:numFmt w:val="lowerRoman"/>
      <w:lvlText w:val="%9."/>
      <w:lvlJc w:val="right"/>
      <w:pPr>
        <w:ind w:left="6480" w:hanging="180"/>
      </w:pPr>
    </w:lvl>
  </w:abstractNum>
  <w:abstractNum w:abstractNumId="11" w15:restartNumberingAfterBreak="0">
    <w:nsid w:val="61E60602"/>
    <w:multiLevelType w:val="hybridMultilevel"/>
    <w:tmpl w:val="04E289CC"/>
    <w:lvl w:ilvl="0" w:tplc="54F84644">
      <w:start w:val="1"/>
      <w:numFmt w:val="decimal"/>
      <w:lvlText w:val="%1."/>
      <w:lvlJc w:val="left"/>
      <w:pPr>
        <w:ind w:left="578" w:hanging="360"/>
      </w:pPr>
      <w:rPr>
        <w:rFonts w:hint="default"/>
        <w:b w:val="0"/>
        <w:bCs w:val="0"/>
      </w:rPr>
    </w:lvl>
    <w:lvl w:ilvl="1" w:tplc="13DEB060" w:tentative="1">
      <w:start w:val="1"/>
      <w:numFmt w:val="lowerLetter"/>
      <w:lvlText w:val="%2."/>
      <w:lvlJc w:val="left"/>
      <w:pPr>
        <w:ind w:left="1440" w:hanging="360"/>
      </w:pPr>
    </w:lvl>
    <w:lvl w:ilvl="2" w:tplc="FAE26386" w:tentative="1">
      <w:start w:val="1"/>
      <w:numFmt w:val="lowerRoman"/>
      <w:lvlText w:val="%3."/>
      <w:lvlJc w:val="right"/>
      <w:pPr>
        <w:ind w:left="2160" w:hanging="180"/>
      </w:pPr>
    </w:lvl>
    <w:lvl w:ilvl="3" w:tplc="6100BD82" w:tentative="1">
      <w:start w:val="1"/>
      <w:numFmt w:val="decimal"/>
      <w:lvlText w:val="%4."/>
      <w:lvlJc w:val="left"/>
      <w:pPr>
        <w:ind w:left="2880" w:hanging="360"/>
      </w:pPr>
    </w:lvl>
    <w:lvl w:ilvl="4" w:tplc="AF9C8510" w:tentative="1">
      <w:start w:val="1"/>
      <w:numFmt w:val="lowerLetter"/>
      <w:lvlText w:val="%5."/>
      <w:lvlJc w:val="left"/>
      <w:pPr>
        <w:ind w:left="3600" w:hanging="360"/>
      </w:pPr>
    </w:lvl>
    <w:lvl w:ilvl="5" w:tplc="1A826CBC" w:tentative="1">
      <w:start w:val="1"/>
      <w:numFmt w:val="lowerRoman"/>
      <w:lvlText w:val="%6."/>
      <w:lvlJc w:val="right"/>
      <w:pPr>
        <w:ind w:left="4320" w:hanging="180"/>
      </w:pPr>
    </w:lvl>
    <w:lvl w:ilvl="6" w:tplc="DBFCE0E6" w:tentative="1">
      <w:start w:val="1"/>
      <w:numFmt w:val="decimal"/>
      <w:lvlText w:val="%7."/>
      <w:lvlJc w:val="left"/>
      <w:pPr>
        <w:ind w:left="5040" w:hanging="360"/>
      </w:pPr>
    </w:lvl>
    <w:lvl w:ilvl="7" w:tplc="628AC9DC" w:tentative="1">
      <w:start w:val="1"/>
      <w:numFmt w:val="lowerLetter"/>
      <w:lvlText w:val="%8."/>
      <w:lvlJc w:val="left"/>
      <w:pPr>
        <w:ind w:left="5760" w:hanging="360"/>
      </w:pPr>
    </w:lvl>
    <w:lvl w:ilvl="8" w:tplc="7DA6BCBA" w:tentative="1">
      <w:start w:val="1"/>
      <w:numFmt w:val="lowerRoman"/>
      <w:lvlText w:val="%9."/>
      <w:lvlJc w:val="right"/>
      <w:pPr>
        <w:ind w:left="6480" w:hanging="180"/>
      </w:pPr>
    </w:lvl>
  </w:abstractNum>
  <w:abstractNum w:abstractNumId="12" w15:restartNumberingAfterBreak="0">
    <w:nsid w:val="66576FE2"/>
    <w:multiLevelType w:val="hybridMultilevel"/>
    <w:tmpl w:val="707CDD90"/>
    <w:lvl w:ilvl="0" w:tplc="ADA8716E">
      <w:start w:val="1"/>
      <w:numFmt w:val="upperLetter"/>
      <w:lvlText w:val="%1."/>
      <w:lvlJc w:val="left"/>
      <w:pPr>
        <w:ind w:left="720" w:hanging="360"/>
      </w:pPr>
      <w:rPr>
        <w:rFonts w:hint="default"/>
        <w:color w:val="000000" w:themeColor="text1"/>
      </w:rPr>
    </w:lvl>
    <w:lvl w:ilvl="1" w:tplc="E72AC068" w:tentative="1">
      <w:start w:val="1"/>
      <w:numFmt w:val="lowerLetter"/>
      <w:lvlText w:val="%2."/>
      <w:lvlJc w:val="left"/>
      <w:pPr>
        <w:ind w:left="1440" w:hanging="360"/>
      </w:pPr>
    </w:lvl>
    <w:lvl w:ilvl="2" w:tplc="FA345920" w:tentative="1">
      <w:start w:val="1"/>
      <w:numFmt w:val="lowerRoman"/>
      <w:lvlText w:val="%3."/>
      <w:lvlJc w:val="right"/>
      <w:pPr>
        <w:ind w:left="2160" w:hanging="180"/>
      </w:pPr>
    </w:lvl>
    <w:lvl w:ilvl="3" w:tplc="954ACB60" w:tentative="1">
      <w:start w:val="1"/>
      <w:numFmt w:val="decimal"/>
      <w:lvlText w:val="%4."/>
      <w:lvlJc w:val="left"/>
      <w:pPr>
        <w:ind w:left="2880" w:hanging="360"/>
      </w:pPr>
    </w:lvl>
    <w:lvl w:ilvl="4" w:tplc="B7361914" w:tentative="1">
      <w:start w:val="1"/>
      <w:numFmt w:val="lowerLetter"/>
      <w:lvlText w:val="%5."/>
      <w:lvlJc w:val="left"/>
      <w:pPr>
        <w:ind w:left="3600" w:hanging="360"/>
      </w:pPr>
    </w:lvl>
    <w:lvl w:ilvl="5" w:tplc="57942D1C" w:tentative="1">
      <w:start w:val="1"/>
      <w:numFmt w:val="lowerRoman"/>
      <w:lvlText w:val="%6."/>
      <w:lvlJc w:val="right"/>
      <w:pPr>
        <w:ind w:left="4320" w:hanging="180"/>
      </w:pPr>
    </w:lvl>
    <w:lvl w:ilvl="6" w:tplc="076E62E8" w:tentative="1">
      <w:start w:val="1"/>
      <w:numFmt w:val="decimal"/>
      <w:lvlText w:val="%7."/>
      <w:lvlJc w:val="left"/>
      <w:pPr>
        <w:ind w:left="5040" w:hanging="360"/>
      </w:pPr>
    </w:lvl>
    <w:lvl w:ilvl="7" w:tplc="E6BC5CDE" w:tentative="1">
      <w:start w:val="1"/>
      <w:numFmt w:val="lowerLetter"/>
      <w:lvlText w:val="%8."/>
      <w:lvlJc w:val="left"/>
      <w:pPr>
        <w:ind w:left="5760" w:hanging="360"/>
      </w:pPr>
    </w:lvl>
    <w:lvl w:ilvl="8" w:tplc="301AA7E0" w:tentative="1">
      <w:start w:val="1"/>
      <w:numFmt w:val="lowerRoman"/>
      <w:lvlText w:val="%9."/>
      <w:lvlJc w:val="right"/>
      <w:pPr>
        <w:ind w:left="6480" w:hanging="180"/>
      </w:pPr>
    </w:lvl>
  </w:abstractNum>
  <w:abstractNum w:abstractNumId="13" w15:restartNumberingAfterBreak="0">
    <w:nsid w:val="7152368C"/>
    <w:multiLevelType w:val="hybridMultilevel"/>
    <w:tmpl w:val="B9BC132E"/>
    <w:lvl w:ilvl="0" w:tplc="A3D0ED6A">
      <w:start w:val="1"/>
      <w:numFmt w:val="decimal"/>
      <w:lvlText w:val="%1."/>
      <w:lvlJc w:val="left"/>
      <w:pPr>
        <w:ind w:left="720" w:hanging="360"/>
      </w:pPr>
    </w:lvl>
    <w:lvl w:ilvl="1" w:tplc="A552E6D8" w:tentative="1">
      <w:start w:val="1"/>
      <w:numFmt w:val="lowerLetter"/>
      <w:lvlText w:val="%2."/>
      <w:lvlJc w:val="left"/>
      <w:pPr>
        <w:ind w:left="1440" w:hanging="360"/>
      </w:pPr>
    </w:lvl>
    <w:lvl w:ilvl="2" w:tplc="951CBFA8" w:tentative="1">
      <w:start w:val="1"/>
      <w:numFmt w:val="lowerRoman"/>
      <w:lvlText w:val="%3."/>
      <w:lvlJc w:val="right"/>
      <w:pPr>
        <w:ind w:left="2160" w:hanging="180"/>
      </w:pPr>
    </w:lvl>
    <w:lvl w:ilvl="3" w:tplc="0ECAD0C4" w:tentative="1">
      <w:start w:val="1"/>
      <w:numFmt w:val="decimal"/>
      <w:lvlText w:val="%4."/>
      <w:lvlJc w:val="left"/>
      <w:pPr>
        <w:ind w:left="2880" w:hanging="360"/>
      </w:pPr>
    </w:lvl>
    <w:lvl w:ilvl="4" w:tplc="9CCE3CA4" w:tentative="1">
      <w:start w:val="1"/>
      <w:numFmt w:val="lowerLetter"/>
      <w:lvlText w:val="%5."/>
      <w:lvlJc w:val="left"/>
      <w:pPr>
        <w:ind w:left="3600" w:hanging="360"/>
      </w:pPr>
    </w:lvl>
    <w:lvl w:ilvl="5" w:tplc="D93C8A08" w:tentative="1">
      <w:start w:val="1"/>
      <w:numFmt w:val="lowerRoman"/>
      <w:lvlText w:val="%6."/>
      <w:lvlJc w:val="right"/>
      <w:pPr>
        <w:ind w:left="4320" w:hanging="180"/>
      </w:pPr>
    </w:lvl>
    <w:lvl w:ilvl="6" w:tplc="BCFA59C4" w:tentative="1">
      <w:start w:val="1"/>
      <w:numFmt w:val="decimal"/>
      <w:lvlText w:val="%7."/>
      <w:lvlJc w:val="left"/>
      <w:pPr>
        <w:ind w:left="5040" w:hanging="360"/>
      </w:pPr>
    </w:lvl>
    <w:lvl w:ilvl="7" w:tplc="47C25C46" w:tentative="1">
      <w:start w:val="1"/>
      <w:numFmt w:val="lowerLetter"/>
      <w:lvlText w:val="%8."/>
      <w:lvlJc w:val="left"/>
      <w:pPr>
        <w:ind w:left="5760" w:hanging="360"/>
      </w:pPr>
    </w:lvl>
    <w:lvl w:ilvl="8" w:tplc="4F363C78" w:tentative="1">
      <w:start w:val="1"/>
      <w:numFmt w:val="lowerRoman"/>
      <w:lvlText w:val="%9."/>
      <w:lvlJc w:val="right"/>
      <w:pPr>
        <w:ind w:left="6480" w:hanging="180"/>
      </w:pPr>
    </w:lvl>
  </w:abstractNum>
  <w:abstractNum w:abstractNumId="14" w15:restartNumberingAfterBreak="0">
    <w:nsid w:val="7CAE64D3"/>
    <w:multiLevelType w:val="hybridMultilevel"/>
    <w:tmpl w:val="D618CFC0"/>
    <w:lvl w:ilvl="0" w:tplc="593825D8">
      <w:start w:val="1"/>
      <w:numFmt w:val="lowerLetter"/>
      <w:lvlText w:val="%1."/>
      <w:lvlJc w:val="left"/>
      <w:pPr>
        <w:ind w:left="2160" w:hanging="360"/>
      </w:pPr>
    </w:lvl>
    <w:lvl w:ilvl="1" w:tplc="110E85B4">
      <w:start w:val="1"/>
      <w:numFmt w:val="lowerLetter"/>
      <w:lvlText w:val="%2."/>
      <w:lvlJc w:val="left"/>
      <w:pPr>
        <w:ind w:left="2880" w:hanging="360"/>
      </w:pPr>
      <w:rPr>
        <w:b w:val="0"/>
      </w:rPr>
    </w:lvl>
    <w:lvl w:ilvl="2" w:tplc="DB7221D2">
      <w:start w:val="1"/>
      <w:numFmt w:val="upperLetter"/>
      <w:lvlText w:val="%3."/>
      <w:lvlJc w:val="left"/>
      <w:pPr>
        <w:ind w:left="360" w:hanging="360"/>
      </w:pPr>
      <w:rPr>
        <w:rFonts w:hint="default"/>
      </w:rPr>
    </w:lvl>
    <w:lvl w:ilvl="3" w:tplc="E2B85C74">
      <w:start w:val="1"/>
      <w:numFmt w:val="decimal"/>
      <w:lvlText w:val="%4)"/>
      <w:lvlJc w:val="left"/>
      <w:pPr>
        <w:ind w:left="4320" w:hanging="360"/>
      </w:pPr>
      <w:rPr>
        <w:rFonts w:hint="default"/>
      </w:rPr>
    </w:lvl>
    <w:lvl w:ilvl="4" w:tplc="47CCD19E" w:tentative="1">
      <w:start w:val="1"/>
      <w:numFmt w:val="lowerLetter"/>
      <w:lvlText w:val="%5."/>
      <w:lvlJc w:val="left"/>
      <w:pPr>
        <w:ind w:left="5040" w:hanging="360"/>
      </w:pPr>
    </w:lvl>
    <w:lvl w:ilvl="5" w:tplc="45AE7542" w:tentative="1">
      <w:start w:val="1"/>
      <w:numFmt w:val="lowerRoman"/>
      <w:lvlText w:val="%6."/>
      <w:lvlJc w:val="right"/>
      <w:pPr>
        <w:ind w:left="5760" w:hanging="180"/>
      </w:pPr>
    </w:lvl>
    <w:lvl w:ilvl="6" w:tplc="C57EFB66" w:tentative="1">
      <w:start w:val="1"/>
      <w:numFmt w:val="decimal"/>
      <w:lvlText w:val="%7."/>
      <w:lvlJc w:val="left"/>
      <w:pPr>
        <w:ind w:left="6480" w:hanging="360"/>
      </w:pPr>
    </w:lvl>
    <w:lvl w:ilvl="7" w:tplc="3A60EFA2" w:tentative="1">
      <w:start w:val="1"/>
      <w:numFmt w:val="lowerLetter"/>
      <w:lvlText w:val="%8."/>
      <w:lvlJc w:val="left"/>
      <w:pPr>
        <w:ind w:left="7200" w:hanging="360"/>
      </w:pPr>
    </w:lvl>
    <w:lvl w:ilvl="8" w:tplc="A8880508" w:tentative="1">
      <w:start w:val="1"/>
      <w:numFmt w:val="lowerRoman"/>
      <w:lvlText w:val="%9."/>
      <w:lvlJc w:val="right"/>
      <w:pPr>
        <w:ind w:left="7920" w:hanging="180"/>
      </w:pPr>
    </w:lvl>
  </w:abstractNum>
  <w:num w:numId="1" w16cid:durableId="224147770">
    <w:abstractNumId w:val="4"/>
  </w:num>
  <w:num w:numId="2" w16cid:durableId="2014261714">
    <w:abstractNumId w:val="10"/>
  </w:num>
  <w:num w:numId="3" w16cid:durableId="835612347">
    <w:abstractNumId w:val="12"/>
  </w:num>
  <w:num w:numId="4" w16cid:durableId="1499924001">
    <w:abstractNumId w:val="1"/>
  </w:num>
  <w:num w:numId="5" w16cid:durableId="505483303">
    <w:abstractNumId w:val="14"/>
  </w:num>
  <w:num w:numId="6" w16cid:durableId="1759251099">
    <w:abstractNumId w:val="3"/>
  </w:num>
  <w:num w:numId="7" w16cid:durableId="1640263473">
    <w:abstractNumId w:val="9"/>
  </w:num>
  <w:num w:numId="8" w16cid:durableId="2084184886">
    <w:abstractNumId w:val="7"/>
  </w:num>
  <w:num w:numId="9" w16cid:durableId="368914726">
    <w:abstractNumId w:val="0"/>
  </w:num>
  <w:num w:numId="10" w16cid:durableId="1975483006">
    <w:abstractNumId w:val="2"/>
  </w:num>
  <w:num w:numId="11" w16cid:durableId="492450348">
    <w:abstractNumId w:val="8"/>
  </w:num>
  <w:num w:numId="12" w16cid:durableId="1485774285">
    <w:abstractNumId w:val="6"/>
  </w:num>
  <w:num w:numId="13" w16cid:durableId="2143841880">
    <w:abstractNumId w:val="5"/>
  </w:num>
  <w:num w:numId="14" w16cid:durableId="439029395">
    <w:abstractNumId w:val="11"/>
  </w:num>
  <w:num w:numId="15" w16cid:durableId="1334794791">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1A"/>
    <w:rsid w:val="00010D95"/>
    <w:rsid w:val="00014FCE"/>
    <w:rsid w:val="00016455"/>
    <w:rsid w:val="00022989"/>
    <w:rsid w:val="00050984"/>
    <w:rsid w:val="00067C40"/>
    <w:rsid w:val="000714E0"/>
    <w:rsid w:val="00076453"/>
    <w:rsid w:val="0008430D"/>
    <w:rsid w:val="000A7BA9"/>
    <w:rsid w:val="000C051E"/>
    <w:rsid w:val="000C5AA9"/>
    <w:rsid w:val="000D0713"/>
    <w:rsid w:val="000E38CF"/>
    <w:rsid w:val="000E5901"/>
    <w:rsid w:val="001057A5"/>
    <w:rsid w:val="00106E90"/>
    <w:rsid w:val="00111AD1"/>
    <w:rsid w:val="00123056"/>
    <w:rsid w:val="0013372A"/>
    <w:rsid w:val="00143D71"/>
    <w:rsid w:val="001536B1"/>
    <w:rsid w:val="0018047F"/>
    <w:rsid w:val="001804B7"/>
    <w:rsid w:val="00190D2D"/>
    <w:rsid w:val="001957B2"/>
    <w:rsid w:val="001C2414"/>
    <w:rsid w:val="001D7E51"/>
    <w:rsid w:val="001E53E5"/>
    <w:rsid w:val="001F11BE"/>
    <w:rsid w:val="00224F0C"/>
    <w:rsid w:val="00234444"/>
    <w:rsid w:val="00287628"/>
    <w:rsid w:val="00290BB3"/>
    <w:rsid w:val="0029298B"/>
    <w:rsid w:val="002966A9"/>
    <w:rsid w:val="002A37C7"/>
    <w:rsid w:val="002A3C0B"/>
    <w:rsid w:val="002B0F5A"/>
    <w:rsid w:val="002B3022"/>
    <w:rsid w:val="002F7F9C"/>
    <w:rsid w:val="00303178"/>
    <w:rsid w:val="003155F4"/>
    <w:rsid w:val="00320E6C"/>
    <w:rsid w:val="003358F3"/>
    <w:rsid w:val="00357A0A"/>
    <w:rsid w:val="003641CB"/>
    <w:rsid w:val="003668AE"/>
    <w:rsid w:val="00372C13"/>
    <w:rsid w:val="003739D2"/>
    <w:rsid w:val="00387041"/>
    <w:rsid w:val="003905A9"/>
    <w:rsid w:val="003958E1"/>
    <w:rsid w:val="003A0C6C"/>
    <w:rsid w:val="003A2E1A"/>
    <w:rsid w:val="003B0ED0"/>
    <w:rsid w:val="003C575E"/>
    <w:rsid w:val="003E0318"/>
    <w:rsid w:val="003E44B4"/>
    <w:rsid w:val="003E46F2"/>
    <w:rsid w:val="003F3E31"/>
    <w:rsid w:val="0040164E"/>
    <w:rsid w:val="00406F78"/>
    <w:rsid w:val="0040727E"/>
    <w:rsid w:val="00410808"/>
    <w:rsid w:val="00412DF7"/>
    <w:rsid w:val="00425A72"/>
    <w:rsid w:val="004416F1"/>
    <w:rsid w:val="00443C4B"/>
    <w:rsid w:val="00463E67"/>
    <w:rsid w:val="0047370A"/>
    <w:rsid w:val="004A255C"/>
    <w:rsid w:val="004A3961"/>
    <w:rsid w:val="004C2B27"/>
    <w:rsid w:val="004C6276"/>
    <w:rsid w:val="004E0154"/>
    <w:rsid w:val="004F3BD8"/>
    <w:rsid w:val="0052528F"/>
    <w:rsid w:val="00530436"/>
    <w:rsid w:val="005358C0"/>
    <w:rsid w:val="00541460"/>
    <w:rsid w:val="005415E5"/>
    <w:rsid w:val="00543111"/>
    <w:rsid w:val="0056154B"/>
    <w:rsid w:val="005901B2"/>
    <w:rsid w:val="005931A5"/>
    <w:rsid w:val="005A7286"/>
    <w:rsid w:val="005B2390"/>
    <w:rsid w:val="005D3200"/>
    <w:rsid w:val="005D7F15"/>
    <w:rsid w:val="005E2A1A"/>
    <w:rsid w:val="00604955"/>
    <w:rsid w:val="00616D5C"/>
    <w:rsid w:val="00624B22"/>
    <w:rsid w:val="00630EC8"/>
    <w:rsid w:val="00644EC1"/>
    <w:rsid w:val="00645367"/>
    <w:rsid w:val="00665ED9"/>
    <w:rsid w:val="006762A1"/>
    <w:rsid w:val="00690D62"/>
    <w:rsid w:val="006947B4"/>
    <w:rsid w:val="006B49A3"/>
    <w:rsid w:val="006C08A8"/>
    <w:rsid w:val="006C3BFE"/>
    <w:rsid w:val="006C7916"/>
    <w:rsid w:val="006C7B64"/>
    <w:rsid w:val="006C7D49"/>
    <w:rsid w:val="006D124B"/>
    <w:rsid w:val="007001BE"/>
    <w:rsid w:val="00701AE1"/>
    <w:rsid w:val="007208EB"/>
    <w:rsid w:val="00733C4C"/>
    <w:rsid w:val="0073756B"/>
    <w:rsid w:val="0074357D"/>
    <w:rsid w:val="00747870"/>
    <w:rsid w:val="00766733"/>
    <w:rsid w:val="00786AAC"/>
    <w:rsid w:val="00793034"/>
    <w:rsid w:val="007A68E5"/>
    <w:rsid w:val="007A731A"/>
    <w:rsid w:val="007B76F7"/>
    <w:rsid w:val="007C2083"/>
    <w:rsid w:val="007D10A6"/>
    <w:rsid w:val="007E3B82"/>
    <w:rsid w:val="007E486D"/>
    <w:rsid w:val="007E5642"/>
    <w:rsid w:val="007E65A9"/>
    <w:rsid w:val="007F0950"/>
    <w:rsid w:val="007F0BCA"/>
    <w:rsid w:val="007F3A07"/>
    <w:rsid w:val="0080372A"/>
    <w:rsid w:val="008052B4"/>
    <w:rsid w:val="00823076"/>
    <w:rsid w:val="00835256"/>
    <w:rsid w:val="00837357"/>
    <w:rsid w:val="00846DA4"/>
    <w:rsid w:val="008508C8"/>
    <w:rsid w:val="00852DD8"/>
    <w:rsid w:val="00856CAD"/>
    <w:rsid w:val="008607E4"/>
    <w:rsid w:val="00865A67"/>
    <w:rsid w:val="0087540D"/>
    <w:rsid w:val="0087763E"/>
    <w:rsid w:val="00885B8B"/>
    <w:rsid w:val="00896473"/>
    <w:rsid w:val="008A36C9"/>
    <w:rsid w:val="008A589D"/>
    <w:rsid w:val="008A7BAF"/>
    <w:rsid w:val="008B4A3E"/>
    <w:rsid w:val="008B57C5"/>
    <w:rsid w:val="008C4769"/>
    <w:rsid w:val="008D0AAC"/>
    <w:rsid w:val="008D5CA0"/>
    <w:rsid w:val="008E1A41"/>
    <w:rsid w:val="008E65D7"/>
    <w:rsid w:val="009138CE"/>
    <w:rsid w:val="00916FE2"/>
    <w:rsid w:val="00940F57"/>
    <w:rsid w:val="0094659A"/>
    <w:rsid w:val="0096152D"/>
    <w:rsid w:val="0097169D"/>
    <w:rsid w:val="00973971"/>
    <w:rsid w:val="00983DFC"/>
    <w:rsid w:val="009970D1"/>
    <w:rsid w:val="009A637C"/>
    <w:rsid w:val="009D0350"/>
    <w:rsid w:val="009E4207"/>
    <w:rsid w:val="00A06574"/>
    <w:rsid w:val="00A077DF"/>
    <w:rsid w:val="00A124AF"/>
    <w:rsid w:val="00A26230"/>
    <w:rsid w:val="00A31E77"/>
    <w:rsid w:val="00A341B9"/>
    <w:rsid w:val="00A450B7"/>
    <w:rsid w:val="00A57F7D"/>
    <w:rsid w:val="00A613F0"/>
    <w:rsid w:val="00A8717F"/>
    <w:rsid w:val="00A9230F"/>
    <w:rsid w:val="00AB326C"/>
    <w:rsid w:val="00AB6D32"/>
    <w:rsid w:val="00AE716A"/>
    <w:rsid w:val="00AE7FBE"/>
    <w:rsid w:val="00AF09AA"/>
    <w:rsid w:val="00AF14B3"/>
    <w:rsid w:val="00AF217A"/>
    <w:rsid w:val="00AF5253"/>
    <w:rsid w:val="00AF5C6F"/>
    <w:rsid w:val="00B0110B"/>
    <w:rsid w:val="00B216F0"/>
    <w:rsid w:val="00B24853"/>
    <w:rsid w:val="00B30E2A"/>
    <w:rsid w:val="00B36C7F"/>
    <w:rsid w:val="00B377D4"/>
    <w:rsid w:val="00B46701"/>
    <w:rsid w:val="00B6126C"/>
    <w:rsid w:val="00B81505"/>
    <w:rsid w:val="00BA14A5"/>
    <w:rsid w:val="00BB226B"/>
    <w:rsid w:val="00BB3A6C"/>
    <w:rsid w:val="00BC2795"/>
    <w:rsid w:val="00C01365"/>
    <w:rsid w:val="00C045A9"/>
    <w:rsid w:val="00C14B5E"/>
    <w:rsid w:val="00C156BB"/>
    <w:rsid w:val="00C24162"/>
    <w:rsid w:val="00C43BC2"/>
    <w:rsid w:val="00C45959"/>
    <w:rsid w:val="00C60CFB"/>
    <w:rsid w:val="00C7585B"/>
    <w:rsid w:val="00C9450A"/>
    <w:rsid w:val="00C95BBF"/>
    <w:rsid w:val="00CA2213"/>
    <w:rsid w:val="00CA6181"/>
    <w:rsid w:val="00CA79E8"/>
    <w:rsid w:val="00CB0252"/>
    <w:rsid w:val="00CB6F8E"/>
    <w:rsid w:val="00CC1875"/>
    <w:rsid w:val="00CD6CC2"/>
    <w:rsid w:val="00CE1829"/>
    <w:rsid w:val="00CE7BE6"/>
    <w:rsid w:val="00CF2124"/>
    <w:rsid w:val="00D06D77"/>
    <w:rsid w:val="00D13FF5"/>
    <w:rsid w:val="00D2038F"/>
    <w:rsid w:val="00D22FEC"/>
    <w:rsid w:val="00D4117A"/>
    <w:rsid w:val="00D458F9"/>
    <w:rsid w:val="00D50257"/>
    <w:rsid w:val="00D524D1"/>
    <w:rsid w:val="00D6368F"/>
    <w:rsid w:val="00D65DB4"/>
    <w:rsid w:val="00D7507B"/>
    <w:rsid w:val="00D844F8"/>
    <w:rsid w:val="00D958C6"/>
    <w:rsid w:val="00D97C5B"/>
    <w:rsid w:val="00DB01FC"/>
    <w:rsid w:val="00DB55B0"/>
    <w:rsid w:val="00DD176A"/>
    <w:rsid w:val="00DD218D"/>
    <w:rsid w:val="00DE5430"/>
    <w:rsid w:val="00DE59D1"/>
    <w:rsid w:val="00E213F0"/>
    <w:rsid w:val="00E3566F"/>
    <w:rsid w:val="00E40525"/>
    <w:rsid w:val="00E453D1"/>
    <w:rsid w:val="00E614B0"/>
    <w:rsid w:val="00E66E8F"/>
    <w:rsid w:val="00E762CC"/>
    <w:rsid w:val="00E9066F"/>
    <w:rsid w:val="00EC04FB"/>
    <w:rsid w:val="00EE1617"/>
    <w:rsid w:val="00EF2546"/>
    <w:rsid w:val="00F20637"/>
    <w:rsid w:val="00F22B37"/>
    <w:rsid w:val="00F40BE1"/>
    <w:rsid w:val="00F65652"/>
    <w:rsid w:val="00FA7FC3"/>
    <w:rsid w:val="00FB2886"/>
    <w:rsid w:val="00FD1635"/>
    <w:rsid w:val="00FE0B45"/>
    <w:rsid w:val="00FF01EF"/>
    <w:rsid w:val="00FF1F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EC10A35-1D18-0344-8057-A9B1F980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link w:val="Heading1Char"/>
    <w:uiPriority w:val="9"/>
    <w:qFormat/>
    <w:pPr>
      <w:keepNext/>
      <w:suppressAutoHyphens/>
      <w:jc w:val="both"/>
    </w:pPr>
    <w:rPr>
      <w:b/>
      <w:szCs w:val="20"/>
      <w:lang w:eastAsia="en-US"/>
    </w:rPr>
  </w:style>
  <w:style w:type="paragraph" w:styleId="Heading2">
    <w:name w:val="heading 2"/>
    <w:basedOn w:val="Normal"/>
    <w:next w:val="Normal"/>
    <w:link w:val="Heading2Char"/>
    <w:uiPriority w:val="99"/>
    <w:unhideWhenUsed/>
    <w:qFormat/>
    <w:pPr>
      <w:keepNext/>
      <w:keepLines/>
      <w:suppressAutoHyphens/>
      <w:spacing w:before="200"/>
      <w:jc w:val="both"/>
      <w:outlineLvl w:val="1"/>
    </w:pPr>
    <w:rPr>
      <w:rFonts w:ascii="Cambria" w:hAnsi="Cambria"/>
      <w:b/>
      <w:bCs/>
      <w:color w:val="4F81BD"/>
      <w:sz w:val="26"/>
      <w:szCs w:val="26"/>
      <w:lang w:eastAsia="en-US"/>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jc w:val="center"/>
    </w:pPr>
    <w:rPr>
      <w:rFonts w:ascii="Arial" w:eastAsia="MS Mincho" w:hAnsi="Arial"/>
      <w:b/>
      <w:szCs w:val="20"/>
    </w:rPr>
  </w:style>
  <w:style w:type="character" w:styleId="HTMLCite">
    <w:name w:val="HTML Cite"/>
    <w:rPr>
      <w:i/>
      <w:iCs/>
      <w:w w:val="100"/>
      <w:position w:val="-1"/>
      <w:effect w:val="none"/>
      <w:vertAlign w:val="baseline"/>
      <w:cs w:val="0"/>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uiPriority w:val="99"/>
    <w:qFormat/>
    <w:rPr>
      <w:color w:val="0000FF"/>
      <w:w w:val="100"/>
      <w:position w:val="-1"/>
      <w:u w:val="single"/>
      <w:effect w:val="none"/>
      <w:vertAlign w:val="baseline"/>
      <w:cs w:val="0"/>
    </w:rPr>
  </w:style>
  <w:style w:type="paragraph" w:styleId="ListParagraph">
    <w:name w:val="List Paragraph"/>
    <w:aliases w:val="ANNEX,Body Text Char1,Body of text,Char Char,Char Char2,Colorful List - Accent 11,Heading 1 Char1,Heading 2 Char1,List Paragraph1,List Paragraph2,ListKebijakan,Numbering,Paragraf ISI,Tabel,UGEX'Z,UGEX'Z1,awal,kepala,skripsi,spasi 2 taiiii"/>
    <w:basedOn w:val="Normal"/>
    <w:link w:val="ListParagraphChar"/>
    <w:uiPriority w:val="34"/>
    <w:qFormat/>
    <w:pPr>
      <w:ind w:left="720"/>
    </w:p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w w:val="100"/>
      <w:position w:val="-1"/>
      <w:sz w:val="24"/>
      <w:szCs w:val="24"/>
      <w:effect w:val="none"/>
      <w:vertAlign w:val="baseline"/>
      <w:cs w:val="0"/>
      <w:lang w:eastAsia="ar-SA"/>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lang w:eastAsia="ar-SA"/>
    </w:rPr>
  </w:style>
  <w:style w:type="paragraph" w:styleId="BalloonText">
    <w:name w:val="Balloon Text"/>
    <w:basedOn w:val="Normal"/>
    <w:uiPriority w:val="99"/>
    <w:qFormat/>
    <w:rPr>
      <w:rFonts w:ascii="Tahoma" w:eastAsia="MS Mincho" w:hAnsi="Tahoma" w:cs="Tahoma"/>
      <w:sz w:val="16"/>
      <w:szCs w:val="16"/>
    </w:rPr>
  </w:style>
  <w:style w:type="character" w:customStyle="1" w:styleId="BalloonTextChar">
    <w:name w:val="Balloon Text Char"/>
    <w:uiPriority w:val="99"/>
    <w:rPr>
      <w:rFonts w:ascii="Tahoma" w:eastAsia="MS Mincho" w:hAnsi="Tahoma" w:cs="Tahoma"/>
      <w:w w:val="100"/>
      <w:position w:val="-1"/>
      <w:sz w:val="16"/>
      <w:szCs w:val="16"/>
      <w:effect w:val="none"/>
      <w:vertAlign w:val="baseline"/>
      <w:cs w:val="0"/>
      <w:lang w:eastAsia="ar-SA"/>
    </w:rPr>
  </w:style>
  <w:style w:type="character" w:styleId="PageNumber">
    <w:name w:val="page number"/>
    <w:basedOn w:val="DefaultParagraphFont"/>
    <w:rPr>
      <w:w w:val="100"/>
      <w:position w:val="-1"/>
      <w:effect w:val="none"/>
      <w:vertAlign w:val="baseline"/>
      <w:cs w:val="0"/>
    </w:rPr>
  </w:style>
  <w:style w:type="character" w:styleId="LineNumber">
    <w:name w:val="line number"/>
    <w:basedOn w:val="DefaultParagraphFont"/>
    <w:rPr>
      <w:w w:val="100"/>
      <w:position w:val="-1"/>
      <w:effect w:val="none"/>
      <w:vertAlign w:val="baseline"/>
      <w:cs w:val="0"/>
    </w:rPr>
  </w:style>
  <w:style w:type="paragraph" w:styleId="Subtitle">
    <w:name w:val="Subtitle"/>
    <w:basedOn w:val="Normal"/>
    <w:uiPriority w:val="11"/>
    <w:qFormat/>
    <w:pPr>
      <w:spacing w:after="60"/>
      <w:jc w:val="center"/>
    </w:pPr>
    <w:rPr>
      <w:rFonts w:ascii="Arial" w:eastAsia="Arial" w:hAnsi="Arial" w:cs="Arial"/>
    </w:rPr>
  </w:style>
  <w:style w:type="paragraph" w:styleId="FootnoteText">
    <w:name w:val="footnote text"/>
    <w:basedOn w:val="Normal"/>
    <w:pPr>
      <w:suppressAutoHyphens/>
    </w:pPr>
    <w:rPr>
      <w:sz w:val="20"/>
      <w:szCs w:val="20"/>
      <w:lang w:eastAsia="en-US"/>
    </w:rPr>
  </w:style>
  <w:style w:type="character" w:styleId="FootnoteReference">
    <w:name w:val="footnote reference"/>
    <w:rPr>
      <w:w w:val="100"/>
      <w:position w:val="-1"/>
      <w:effect w:val="none"/>
      <w:vertAlign w:val="superscript"/>
      <w:cs w:val="0"/>
    </w:rPr>
  </w:style>
  <w:style w:type="table" w:styleId="TableGrid">
    <w:name w:val="Table Grid"/>
    <w:basedOn w:val="TableNormal"/>
    <w:uiPriority w:val="39"/>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character" w:customStyle="1" w:styleId="CharChar5">
    <w:name w:val="Char Char5"/>
    <w:rPr>
      <w:rFonts w:ascii="Times New Roman" w:eastAsia="Times New Roman" w:hAnsi="Times New Roman" w:cs="Times New Roman"/>
      <w:b/>
      <w:w w:val="100"/>
      <w:position w:val="-1"/>
      <w:sz w:val="24"/>
      <w:szCs w:val="20"/>
      <w:effect w:val="none"/>
      <w:vertAlign w:val="baseline"/>
      <w:cs w:val="0"/>
    </w:rPr>
  </w:style>
  <w:style w:type="character" w:customStyle="1" w:styleId="CharChar4">
    <w:name w:val="Char Char4"/>
    <w:rPr>
      <w:rFonts w:ascii="Cambria" w:eastAsia="Times New Roman" w:hAnsi="Cambria" w:cs="Times New Roman"/>
      <w:b/>
      <w:bCs/>
      <w:color w:val="4F81BD"/>
      <w:w w:val="100"/>
      <w:position w:val="-1"/>
      <w:sz w:val="26"/>
      <w:szCs w:val="26"/>
      <w:effect w:val="none"/>
      <w:vertAlign w:val="baseline"/>
      <w:cs w:val="0"/>
    </w:rPr>
  </w:style>
  <w:style w:type="paragraph" w:styleId="NoSpacing">
    <w:name w:val="No Spacing"/>
    <w:uiPriority w:val="1"/>
    <w:qFormat/>
    <w:pPr>
      <w:suppressAutoHyphens/>
      <w:spacing w:line="1" w:lineRule="atLeast"/>
      <w:ind w:leftChars="-1" w:left="-1" w:hangingChars="1" w:hanging="1"/>
      <w:jc w:val="both"/>
      <w:textDirection w:val="btLr"/>
      <w:textAlignment w:val="top"/>
      <w:outlineLvl w:val="0"/>
    </w:pPr>
    <w:rPr>
      <w:rFonts w:ascii="Calibri" w:eastAsia="Calibri" w:hAnsi="Calibri"/>
      <w:position w:val="-1"/>
      <w:sz w:val="22"/>
      <w:szCs w:val="22"/>
    </w:rPr>
  </w:style>
  <w:style w:type="character" w:styleId="FollowedHyperlink">
    <w:name w:val="FollowedHyperlink"/>
    <w:uiPriority w:val="99"/>
    <w:rPr>
      <w:color w:val="800080"/>
      <w:w w:val="100"/>
      <w:position w:val="-1"/>
      <w:u w:val="single"/>
      <w:effect w:val="none"/>
      <w:vertAlign w:val="baseline"/>
      <w:cs w:val="0"/>
    </w:rPr>
  </w:style>
  <w:style w:type="character" w:customStyle="1" w:styleId="CharChar6">
    <w:name w:val="Char Char6"/>
    <w:rPr>
      <w:w w:val="100"/>
      <w:position w:val="-1"/>
      <w:sz w:val="22"/>
      <w:szCs w:val="22"/>
      <w:effect w:val="none"/>
      <w:vertAlign w:val="baseline"/>
      <w:cs w:val="0"/>
    </w:rPr>
  </w:style>
  <w:style w:type="paragraph" w:customStyle="1" w:styleId="Title-article">
    <w:name w:val="Title-article"/>
    <w:basedOn w:val="Normal"/>
    <w:next w:val="Normal"/>
    <w:pPr>
      <w:spacing w:after="480"/>
      <w:jc w:val="center"/>
    </w:pPr>
    <w:rPr>
      <w:b/>
      <w:bCs/>
      <w:sz w:val="28"/>
      <w:szCs w:val="28"/>
    </w:rPr>
  </w:style>
  <w:style w:type="paragraph" w:customStyle="1" w:styleId="Afiliation">
    <w:name w:val="Afiliation"/>
    <w:basedOn w:val="Normal"/>
    <w:pPr>
      <w:jc w:val="center"/>
    </w:pPr>
    <w:rPr>
      <w:i/>
      <w:iCs/>
    </w:rPr>
  </w:style>
  <w:style w:type="paragraph" w:customStyle="1" w:styleId="author">
    <w:name w:val="author"/>
    <w:basedOn w:val="Normal"/>
    <w:pPr>
      <w:jc w:val="center"/>
    </w:pPr>
    <w:rPr>
      <w:b/>
      <w:bCs/>
      <w:i/>
      <w:iCs/>
    </w:rPr>
  </w:style>
  <w:style w:type="character" w:styleId="Strong">
    <w:name w:val="Strong"/>
    <w:uiPriority w:val="22"/>
    <w:qFormat/>
    <w:rPr>
      <w:b/>
      <w:bCs/>
      <w:w w:val="100"/>
      <w:position w:val="-1"/>
      <w:effect w:val="none"/>
      <w:vertAlign w:val="baseline"/>
      <w:cs w:val="0"/>
    </w:rPr>
  </w:style>
  <w:style w:type="paragraph" w:customStyle="1" w:styleId="Abstract">
    <w:name w:val="Abstract"/>
    <w:basedOn w:val="Normal"/>
    <w:next w:val="Normal"/>
    <w:pPr>
      <w:suppressAutoHyphens/>
      <w:autoSpaceDE w:val="0"/>
      <w:autoSpaceDN w:val="0"/>
      <w:spacing w:before="20"/>
      <w:ind w:firstLine="202"/>
      <w:jc w:val="both"/>
    </w:pPr>
    <w:rPr>
      <w:b/>
      <w:bCs/>
      <w:sz w:val="18"/>
      <w:szCs w:val="18"/>
      <w:lang w:eastAsia="en-US"/>
    </w:rPr>
  </w:style>
  <w:style w:type="paragraph" w:customStyle="1" w:styleId="Text">
    <w:name w:val="Text"/>
    <w:basedOn w:val="Normal"/>
    <w:pPr>
      <w:widowControl w:val="0"/>
      <w:suppressAutoHyphens/>
      <w:autoSpaceDE w:val="0"/>
      <w:autoSpaceDN w:val="0"/>
      <w:spacing w:line="252" w:lineRule="auto"/>
      <w:ind w:firstLine="202"/>
      <w:jc w:val="both"/>
    </w:pPr>
    <w:rPr>
      <w:sz w:val="20"/>
      <w:szCs w:val="20"/>
      <w:lang w:eastAsia="en-US"/>
    </w:rPr>
  </w:style>
  <w:style w:type="paragraph" w:styleId="BodyTextFirstIndent">
    <w:name w:val="Body Text First Indent"/>
    <w:basedOn w:val="BodyText"/>
    <w:qFormat/>
    <w:pPr>
      <w:ind w:firstLine="210"/>
    </w:pPr>
  </w:style>
  <w:style w:type="character" w:customStyle="1" w:styleId="BodyTextChar">
    <w:name w:val="Body Text Char"/>
    <w:rPr>
      <w:w w:val="100"/>
      <w:position w:val="-1"/>
      <w:sz w:val="24"/>
      <w:szCs w:val="24"/>
      <w:effect w:val="none"/>
      <w:vertAlign w:val="baseline"/>
      <w:cs w:val="0"/>
      <w:lang w:val="en-US" w:eastAsia="ar-SA"/>
    </w:rPr>
  </w:style>
  <w:style w:type="character" w:customStyle="1" w:styleId="BodyTextFirstIndentChar">
    <w:name w:val="Body Text First Indent Char"/>
    <w:basedOn w:val="BodyTextChar"/>
    <w:rPr>
      <w:w w:val="100"/>
      <w:position w:val="-1"/>
      <w:sz w:val="24"/>
      <w:szCs w:val="24"/>
      <w:effect w:val="none"/>
      <w:vertAlign w:val="baseline"/>
      <w:cs w:val="0"/>
      <w:lang w:val="en-US" w:eastAsia="ar-SA"/>
    </w:rPr>
  </w:style>
  <w:style w:type="paragraph" w:customStyle="1" w:styleId="Els-caption">
    <w:name w:val="Els-caption"/>
    <w:pPr>
      <w:keepLines/>
      <w:suppressAutoHyphens/>
      <w:spacing w:before="200" w:after="240" w:line="200" w:lineRule="atLeast"/>
      <w:ind w:leftChars="-1" w:left="-1" w:hangingChars="1" w:hanging="1"/>
      <w:textDirection w:val="btLr"/>
      <w:textAlignment w:val="top"/>
      <w:outlineLvl w:val="0"/>
    </w:pPr>
    <w:rPr>
      <w:position w:val="-1"/>
      <w:sz w:val="16"/>
    </w:rPr>
  </w:style>
  <w:style w:type="character" w:styleId="CommentReference">
    <w:name w:val="annotation reference"/>
    <w:qFormat/>
    <w:rPr>
      <w:w w:val="100"/>
      <w:position w:val="-1"/>
      <w:sz w:val="16"/>
      <w:szCs w:val="16"/>
      <w:effect w:val="none"/>
      <w:vertAlign w:val="baseline"/>
      <w:cs w:val="0"/>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lang w:eastAsia="ar-SA"/>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lang w:eastAsia="ar-SA"/>
    </w:rPr>
  </w:style>
  <w:style w:type="character" w:customStyle="1" w:styleId="UnresolvedMention1">
    <w:name w:val="Unresolved Mention1"/>
    <w:uiPriority w:val="99"/>
    <w:qFormat/>
    <w:rPr>
      <w:color w:val="605E5C"/>
      <w:w w:val="100"/>
      <w:position w:val="-1"/>
      <w:effect w:val="none"/>
      <w:shd w:val="clear" w:color="auto" w:fill="E1DFDD"/>
      <w:vertAlign w:val="baseline"/>
      <w:cs w:val="0"/>
    </w:rPr>
  </w:style>
  <w:style w:type="table" w:customStyle="1" w:styleId="a">
    <w:name w:val="a"/>
    <w:basedOn w:val="TableNormal"/>
    <w:tblPr>
      <w:tblStyleRowBandSize w:val="1"/>
      <w:tblStyleColBandSize w:val="1"/>
    </w:tblPr>
  </w:style>
  <w:style w:type="table" w:customStyle="1" w:styleId="a0">
    <w:name w:val="a0"/>
    <w:basedOn w:val="TableNormal"/>
    <w:tblPr>
      <w:tblStyleRowBandSize w:val="1"/>
      <w:tblStyleColBandSize w:val="1"/>
    </w:tblPr>
  </w:style>
  <w:style w:type="paragraph" w:styleId="NormalWeb">
    <w:name w:val="Normal (Web)"/>
    <w:basedOn w:val="Normal"/>
    <w:uiPriority w:val="99"/>
    <w:unhideWhenUsed/>
    <w:rsid w:val="00D50257"/>
    <w:pPr>
      <w:spacing w:before="100" w:beforeAutospacing="1" w:after="100" w:afterAutospacing="1" w:line="240" w:lineRule="auto"/>
      <w:ind w:leftChars="0" w:left="0" w:firstLineChars="0" w:firstLine="0"/>
      <w:textDirection w:val="lrTb"/>
      <w:textAlignment w:val="auto"/>
      <w:outlineLvl w:val="9"/>
    </w:pPr>
    <w:rPr>
      <w:position w:val="0"/>
      <w:lang w:val="en-ID" w:eastAsia="en-US"/>
    </w:rPr>
  </w:style>
  <w:style w:type="character" w:customStyle="1" w:styleId="apple-tab-span">
    <w:name w:val="apple-tab-span"/>
    <w:basedOn w:val="DefaultParagraphFont"/>
    <w:rsid w:val="00940F57"/>
  </w:style>
  <w:style w:type="paragraph" w:customStyle="1" w:styleId="Body">
    <w:name w:val="Body"/>
    <w:basedOn w:val="BodyTextIndent"/>
    <w:rsid w:val="00DD218D"/>
    <w:pPr>
      <w:suppressAutoHyphens/>
      <w:spacing w:after="0" w:line="240" w:lineRule="auto"/>
      <w:ind w:leftChars="0" w:left="0" w:firstLineChars="0" w:firstLine="567"/>
      <w:jc w:val="both"/>
      <w:textDirection w:val="lrTb"/>
      <w:textAlignment w:val="auto"/>
      <w:outlineLvl w:val="9"/>
    </w:pPr>
    <w:rPr>
      <w:position w:val="0"/>
      <w:sz w:val="20"/>
      <w:szCs w:val="20"/>
    </w:rPr>
  </w:style>
  <w:style w:type="table" w:customStyle="1" w:styleId="TableGrid1">
    <w:name w:val="Table Grid1"/>
    <w:basedOn w:val="TableNormal"/>
    <w:next w:val="TableGrid"/>
    <w:uiPriority w:val="59"/>
    <w:qFormat/>
    <w:rsid w:val="008E1A41"/>
    <w:rPr>
      <w:rFonts w:asciiTheme="minorHAnsi" w:eastAsiaTheme="minorEastAsia"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NNEX Char,Body Text Char1 Char,Body of text Char,Char Char Char,Char Char2 Char,Colorful List - Accent 11 Char,Heading 1 Char1 Char,Heading 2 Char1 Char,List Paragraph1 Char,List Paragraph2 Char,ListKebijakan Char,Numbering Char"/>
    <w:link w:val="ListParagraph"/>
    <w:uiPriority w:val="34"/>
    <w:qFormat/>
    <w:rsid w:val="00D524D1"/>
    <w:rPr>
      <w:position w:val="-1"/>
      <w:lang w:eastAsia="ar-SA"/>
    </w:rPr>
  </w:style>
  <w:style w:type="paragraph" w:customStyle="1" w:styleId="TableParagraph">
    <w:name w:val="Table Paragraph"/>
    <w:basedOn w:val="Normal"/>
    <w:uiPriority w:val="1"/>
    <w:qFormat/>
    <w:rsid w:val="00014FCE"/>
    <w:pPr>
      <w:widowControl w:val="0"/>
      <w:autoSpaceDE w:val="0"/>
      <w:autoSpaceDN w:val="0"/>
      <w:spacing w:line="240" w:lineRule="auto"/>
      <w:ind w:leftChars="0" w:left="0" w:firstLineChars="0" w:firstLine="0"/>
      <w:textDirection w:val="lrTb"/>
      <w:textAlignment w:val="auto"/>
      <w:outlineLvl w:val="9"/>
    </w:pPr>
    <w:rPr>
      <w:position w:val="0"/>
      <w:sz w:val="22"/>
      <w:szCs w:val="22"/>
      <w:lang w:val="id" w:eastAsia="en-US"/>
    </w:rPr>
  </w:style>
  <w:style w:type="character" w:styleId="Emphasis">
    <w:name w:val="Emphasis"/>
    <w:uiPriority w:val="20"/>
    <w:qFormat/>
    <w:rsid w:val="00FB2886"/>
    <w:rPr>
      <w:i/>
      <w:iCs/>
    </w:rPr>
  </w:style>
  <w:style w:type="character" w:customStyle="1" w:styleId="y2iqfc">
    <w:name w:val="y2iqfc"/>
    <w:basedOn w:val="DefaultParagraphFont"/>
    <w:rsid w:val="00FB2886"/>
  </w:style>
  <w:style w:type="character" w:customStyle="1" w:styleId="fontstyle01">
    <w:name w:val="fontstyle01"/>
    <w:basedOn w:val="DefaultParagraphFont"/>
    <w:rsid w:val="00EC04FB"/>
    <w:rPr>
      <w:rFonts w:ascii="TimesNewRomanPSMT" w:hAnsi="TimesNewRomanPSMT" w:hint="default"/>
      <w:b w:val="0"/>
      <w:bCs w:val="0"/>
      <w:i w:val="0"/>
      <w:iCs w:val="0"/>
      <w:color w:val="000000"/>
      <w:sz w:val="24"/>
      <w:szCs w:val="24"/>
    </w:rPr>
  </w:style>
  <w:style w:type="table" w:styleId="PlainTable2">
    <w:name w:val="Plain Table 2"/>
    <w:basedOn w:val="TableNormal"/>
    <w:uiPriority w:val="42"/>
    <w:rsid w:val="0018047F"/>
    <w:rPr>
      <w:rFonts w:asciiTheme="minorHAnsi" w:eastAsiaTheme="minorHAnsi" w:hAnsiTheme="minorHAnsi" w:cstheme="minorBidi"/>
      <w:sz w:val="22"/>
      <w:szCs w:val="22"/>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3358F3"/>
    <w:rPr>
      <w:b/>
      <w:position w:val="-1"/>
      <w:szCs w:val="20"/>
    </w:rPr>
  </w:style>
  <w:style w:type="character" w:customStyle="1" w:styleId="Heading2Char">
    <w:name w:val="Heading 2 Char"/>
    <w:basedOn w:val="DefaultParagraphFont"/>
    <w:link w:val="Heading2"/>
    <w:uiPriority w:val="99"/>
    <w:rsid w:val="003358F3"/>
    <w:rPr>
      <w:rFonts w:ascii="Cambria" w:hAnsi="Cambria"/>
      <w:b/>
      <w:bCs/>
      <w:color w:val="4F81BD"/>
      <w:position w:val="-1"/>
      <w:sz w:val="26"/>
      <w:szCs w:val="26"/>
    </w:rPr>
  </w:style>
  <w:style w:type="character" w:customStyle="1" w:styleId="Heading3Char">
    <w:name w:val="Heading 3 Char"/>
    <w:basedOn w:val="DefaultParagraphFont"/>
    <w:link w:val="Heading3"/>
    <w:uiPriority w:val="9"/>
    <w:rsid w:val="003358F3"/>
    <w:rPr>
      <w:b/>
      <w:position w:val="-1"/>
      <w:sz w:val="28"/>
      <w:szCs w:val="28"/>
      <w:lang w:eastAsia="ar-SA"/>
    </w:rPr>
  </w:style>
  <w:style w:type="character" w:customStyle="1" w:styleId="Heading4Char">
    <w:name w:val="Heading 4 Char"/>
    <w:basedOn w:val="DefaultParagraphFont"/>
    <w:link w:val="Heading4"/>
    <w:uiPriority w:val="9"/>
    <w:rsid w:val="003358F3"/>
    <w:rPr>
      <w:b/>
      <w:position w:val="-1"/>
      <w:lang w:eastAsia="ar-SA"/>
    </w:rPr>
  </w:style>
  <w:style w:type="character" w:customStyle="1" w:styleId="l6">
    <w:name w:val="l6"/>
    <w:basedOn w:val="DefaultParagraphFont"/>
    <w:rsid w:val="003358F3"/>
  </w:style>
  <w:style w:type="table" w:styleId="MediumShading2">
    <w:name w:val="Medium Shading 2"/>
    <w:basedOn w:val="TableNormal"/>
    <w:uiPriority w:val="64"/>
    <w:rsid w:val="003358F3"/>
    <w:rPr>
      <w:rFonts w:asciiTheme="minorHAnsi" w:eastAsiaTheme="minorHAnsi" w:hAnsiTheme="minorHAnsi" w:cstheme="minorBidi"/>
      <w:sz w:val="22"/>
      <w:szCs w:val="22"/>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3358F3"/>
  </w:style>
  <w:style w:type="paragraph" w:customStyle="1" w:styleId="msonormal0">
    <w:name w:val="msonormal"/>
    <w:basedOn w:val="Normal"/>
    <w:rsid w:val="003358F3"/>
    <w:pPr>
      <w:spacing w:before="100" w:beforeAutospacing="1" w:after="100" w:afterAutospacing="1" w:line="240" w:lineRule="auto"/>
      <w:ind w:leftChars="0" w:left="0" w:firstLineChars="0" w:firstLine="0"/>
      <w:textDirection w:val="lrTb"/>
      <w:textAlignment w:val="auto"/>
      <w:outlineLvl w:val="9"/>
    </w:pPr>
    <w:rPr>
      <w:position w:val="0"/>
      <w:lang w:eastAsia="en-US"/>
    </w:rPr>
  </w:style>
  <w:style w:type="paragraph" w:customStyle="1" w:styleId="xl65">
    <w:name w:val="xl65"/>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textDirection w:val="lrTb"/>
      <w:textAlignment w:val="auto"/>
      <w:outlineLvl w:val="9"/>
    </w:pPr>
    <w:rPr>
      <w:position w:val="0"/>
      <w:lang w:eastAsia="en-US"/>
    </w:rPr>
  </w:style>
  <w:style w:type="paragraph" w:customStyle="1" w:styleId="xl66">
    <w:name w:val="xl66"/>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auto"/>
      <w:outlineLvl w:val="9"/>
    </w:pPr>
    <w:rPr>
      <w:position w:val="0"/>
      <w:lang w:eastAsia="en-US"/>
    </w:rPr>
  </w:style>
  <w:style w:type="paragraph" w:customStyle="1" w:styleId="xl67">
    <w:name w:val="xl67"/>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center"/>
      <w:outlineLvl w:val="9"/>
    </w:pPr>
    <w:rPr>
      <w:position w:val="0"/>
      <w:lang w:eastAsia="en-US"/>
    </w:rPr>
  </w:style>
  <w:style w:type="paragraph" w:customStyle="1" w:styleId="xl68">
    <w:name w:val="xl68"/>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auto"/>
      <w:outlineLvl w:val="9"/>
    </w:pPr>
    <w:rPr>
      <w:b/>
      <w:bCs/>
      <w:color w:val="FF0000"/>
      <w:position w:val="0"/>
      <w:lang w:eastAsia="en-US"/>
    </w:rPr>
  </w:style>
  <w:style w:type="paragraph" w:customStyle="1" w:styleId="xl69">
    <w:name w:val="xl69"/>
    <w:basedOn w:val="Normal"/>
    <w:rsid w:val="00335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center"/>
      <w:outlineLvl w:val="9"/>
    </w:pPr>
    <w:rPr>
      <w:b/>
      <w:bCs/>
      <w:color w:val="FF0000"/>
      <w:position w:val="0"/>
      <w:lang w:eastAsia="en-US"/>
    </w:rPr>
  </w:style>
  <w:style w:type="paragraph" w:customStyle="1" w:styleId="xl70">
    <w:name w:val="xl70"/>
    <w:basedOn w:val="Normal"/>
    <w:rsid w:val="003358F3"/>
    <w:pPr>
      <w:spacing w:before="100" w:beforeAutospacing="1" w:after="100" w:afterAutospacing="1" w:line="240" w:lineRule="auto"/>
      <w:ind w:leftChars="0" w:left="0" w:firstLineChars="0" w:firstLine="0"/>
      <w:jc w:val="center"/>
      <w:textDirection w:val="lrTb"/>
      <w:textAlignment w:val="auto"/>
      <w:outlineLvl w:val="9"/>
    </w:pPr>
    <w:rPr>
      <w:b/>
      <w:bCs/>
      <w:color w:val="FF0000"/>
      <w:position w:val="0"/>
      <w:lang w:eastAsia="en-US"/>
    </w:rPr>
  </w:style>
  <w:style w:type="paragraph" w:customStyle="1" w:styleId="xl71">
    <w:name w:val="xl71"/>
    <w:basedOn w:val="Normal"/>
    <w:rsid w:val="003358F3"/>
    <w:pPr>
      <w:pBdr>
        <w:left w:val="single" w:sz="4" w:space="0" w:color="auto"/>
        <w:right w:val="single" w:sz="4" w:space="0" w:color="auto"/>
      </w:pBdr>
      <w:spacing w:before="100" w:beforeAutospacing="1" w:after="100" w:afterAutospacing="1" w:line="240" w:lineRule="auto"/>
      <w:ind w:leftChars="0" w:left="0" w:firstLineChars="0" w:firstLine="0"/>
      <w:jc w:val="center"/>
      <w:textDirection w:val="lrTb"/>
      <w:textAlignment w:val="auto"/>
      <w:outlineLvl w:val="9"/>
    </w:pPr>
    <w:rPr>
      <w:position w:val="0"/>
      <w:lang w:eastAsia="en-US"/>
    </w:rPr>
  </w:style>
  <w:style w:type="paragraph" w:styleId="HTMLPreformatted">
    <w:name w:val="HTML Preformatted"/>
    <w:basedOn w:val="Normal"/>
    <w:link w:val="HTMLPreformattedChar"/>
    <w:uiPriority w:val="99"/>
    <w:semiHidden/>
    <w:unhideWhenUsed/>
    <w:rsid w:val="00335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textDirection w:val="lrTb"/>
      <w:textAlignment w:val="auto"/>
      <w:outlineLvl w:val="9"/>
    </w:pPr>
    <w:rPr>
      <w:rFonts w:ascii="Courier New" w:hAnsi="Courier New" w:cs="Courier New"/>
      <w:position w:val="0"/>
      <w:sz w:val="20"/>
      <w:szCs w:val="20"/>
      <w:lang w:eastAsia="en-US"/>
    </w:rPr>
  </w:style>
  <w:style w:type="character" w:customStyle="1" w:styleId="HTMLPreformattedChar">
    <w:name w:val="HTML Preformatted Char"/>
    <w:basedOn w:val="DefaultParagraphFont"/>
    <w:link w:val="HTMLPreformatted"/>
    <w:uiPriority w:val="99"/>
    <w:semiHidden/>
    <w:rsid w:val="003358F3"/>
    <w:rPr>
      <w:rFonts w:ascii="Courier New" w:hAnsi="Courier New" w:cs="Courier New"/>
      <w:sz w:val="20"/>
      <w:szCs w:val="20"/>
    </w:rPr>
  </w:style>
  <w:style w:type="character" w:styleId="PlaceholderText">
    <w:name w:val="Placeholder Text"/>
    <w:basedOn w:val="DefaultParagraphFont"/>
    <w:uiPriority w:val="99"/>
    <w:semiHidden/>
    <w:rsid w:val="003358F3"/>
    <w:rPr>
      <w:color w:val="808080"/>
    </w:rPr>
  </w:style>
  <w:style w:type="character" w:customStyle="1" w:styleId="a00">
    <w:name w:val="a_0"/>
    <w:rsid w:val="005D3200"/>
  </w:style>
  <w:style w:type="character" w:customStyle="1" w:styleId="hgkelc">
    <w:name w:val="hgkelc"/>
    <w:basedOn w:val="DefaultParagraphFont"/>
    <w:rsid w:val="00EE1617"/>
  </w:style>
  <w:style w:type="character" w:customStyle="1" w:styleId="personname">
    <w:name w:val="person_name"/>
    <w:basedOn w:val="DefaultParagraphFont"/>
    <w:rsid w:val="00EE1617"/>
  </w:style>
  <w:style w:type="character" w:customStyle="1" w:styleId="markedcontent">
    <w:name w:val="markedcontent"/>
    <w:basedOn w:val="DefaultParagraphFont"/>
    <w:rsid w:val="00EE1617"/>
  </w:style>
  <w:style w:type="table" w:styleId="PlainTable4">
    <w:name w:val="Plain Table 4"/>
    <w:basedOn w:val="TableNormal"/>
    <w:uiPriority w:val="44"/>
    <w:rsid w:val="00AF525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bliography1">
    <w:name w:val="Bibliography1"/>
    <w:basedOn w:val="Normal"/>
    <w:next w:val="Normal"/>
    <w:uiPriority w:val="37"/>
    <w:rsid w:val="00A124AF"/>
    <w:pPr>
      <w:spacing w:after="200" w:line="480" w:lineRule="auto"/>
      <w:ind w:leftChars="0" w:left="0" w:firstLineChars="0" w:firstLine="0"/>
      <w:textDirection w:val="lrTb"/>
      <w:textAlignment w:val="auto"/>
      <w:outlineLvl w:val="9"/>
    </w:pPr>
    <w:rPr>
      <w:rFonts w:ascii="Calibri" w:eastAsia="MS Mincho" w:hAnsi="Calibr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image" Target="media/image7.tif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creativecommons.org/licenses/by-sa/4.0/"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iqbalmd@gmail.com" TargetMode="External"/><Relationship Id="rId14" Type="http://schemas.openxmlformats.org/officeDocument/2006/relationships/header" Target="header3.xml"/><Relationship Id="rId22" Type="http://schemas.openxmlformats.org/officeDocument/2006/relationships/image" Target="media/image8.tiff"/><Relationship Id="rId27" Type="http://schemas.openxmlformats.org/officeDocument/2006/relationships/footer" Target="footer4.xml"/><Relationship Id="rId30" Type="http://schemas.openxmlformats.org/officeDocument/2006/relationships/footer" Target="footer6.xml"/></Relationships>
</file>

<file path=word/_rels/footer3.xml.rels><?xml version="1.0" encoding="UTF-8" standalone="yes"?>
<Relationships xmlns="http://schemas.openxmlformats.org/package/2006/relationships"><Relationship Id="rId3" Type="http://schemas.openxmlformats.org/officeDocument/2006/relationships/hyperlink" Target="https://ridwaninstitute.co.id/" TargetMode="External"/><Relationship Id="rId2" Type="http://schemas.openxmlformats.org/officeDocument/2006/relationships/hyperlink" Target="http://issn.pdii.lipi.go.id/issn.cgi?daftar&amp;1590651080&amp;1&amp;&amp;" TargetMode="External"/><Relationship Id="rId1" Type="http://schemas.openxmlformats.org/officeDocument/2006/relationships/hyperlink" Target="https://doi.org/10.46799/jsa.v3i9.46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982HyRzSLzWINb1myHR0MMaXaQ==">AMUW2mW20A5kRh7MWFtTT+RnWG/tFn5qRNf8bC/YpEdUJI9ZEE0aaby9aPYtsXwRCZdXrhY89Nw9lcYhE69v90kTKLoL1WB2A/hMjiS1YxTguXoEAzWpP6oa2FNjgwy8gXADHcfLLP4Q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759C09-009F-4D62-A081-BB930564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7489</Words>
  <Characters>42693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 Diyani Rapei</dc:creator>
  <cp:lastModifiedBy>microsoft office</cp:lastModifiedBy>
  <cp:revision>2</cp:revision>
  <dcterms:created xsi:type="dcterms:W3CDTF">2023-05-26T08:38:00Z</dcterms:created>
  <dcterms:modified xsi:type="dcterms:W3CDTF">2023-05-26T08:38:00Z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https://csl.mendeley.com/styles/475823531/apa</vt:lpwstr>
  </property>
  <property fmtid="{D5CDD505-2E9C-101B-9397-08002B2CF9AE}" pid="7" name="Mendeley Recent Style Id 3_1">
    <vt:lpwstr>http://www.zotero.org/styles/apa</vt:lpwstr>
  </property>
  <property fmtid="{D5CDD505-2E9C-101B-9397-08002B2CF9AE}" pid="8" name="Mendeley Recent Style Id 4_1">
    <vt:lpwstr>http://www.zotero.org/styles/american-sociological-association</vt:lpwstr>
  </property>
  <property fmtid="{D5CDD505-2E9C-101B-9397-08002B2CF9AE}" pid="9" name="Mendeley Recent Style Id 5_1">
    <vt:lpwstr>http://www.zotero.org/styles/chicago-author-date</vt:lpwstr>
  </property>
  <property fmtid="{D5CDD505-2E9C-101B-9397-08002B2CF9AE}" pid="10" name="Mendeley Recent Style Id 6_1">
    <vt:lpwstr>http://www.zotero.org/styles/harvard-cite-them-right</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 - Mincho Slavov</vt:lpwstr>
  </property>
  <property fmtid="{D5CDD505-2E9C-101B-9397-08002B2CF9AE}" pid="17" name="Mendeley Recent Style Name 3_1">
    <vt:lpwstr>American Psychological Association 7th edition</vt:lpwstr>
  </property>
  <property fmtid="{D5CDD505-2E9C-101B-9397-08002B2CF9AE}" pid="18" name="Mendeley Recent Style Name 4_1">
    <vt:lpwstr>American Sociological Association 6th edition</vt:lpwstr>
  </property>
  <property fmtid="{D5CDD505-2E9C-101B-9397-08002B2CF9AE}" pid="19" name="Mendeley Recent Style Name 5_1">
    <vt:lpwstr>Chicago Manual of Style 17th edition (author-date)</vt:lpwstr>
  </property>
  <property fmtid="{D5CDD505-2E9C-101B-9397-08002B2CF9AE}" pid="20" name="Mendeley Recent Style Name 6_1">
    <vt:lpwstr>Cite Them Right 10th edition - Harvard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79ee2f5d-841e-30f3-bd83-4fdb1fd03773</vt:lpwstr>
  </property>
</Properties>
</file>