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228A" w14:textId="245014AA" w:rsidR="005233A0" w:rsidRPr="00483C38" w:rsidRDefault="00C17B1D" w:rsidP="00160FC0">
      <w:pPr>
        <w:pBdr>
          <w:top w:val="nil"/>
          <w:left w:val="nil"/>
          <w:bottom w:val="nil"/>
          <w:right w:val="nil"/>
          <w:between w:val="nil"/>
        </w:pBdr>
        <w:tabs>
          <w:tab w:val="center" w:pos="4680"/>
          <w:tab w:val="right" w:pos="9360"/>
        </w:tabs>
        <w:spacing w:line="240" w:lineRule="auto"/>
        <w:ind w:left="0" w:hanging="2"/>
        <w:jc w:val="center"/>
        <w:rPr>
          <w:rFonts w:ascii="Candara" w:eastAsia="Tahoma" w:hAnsi="Candara" w:cs="Al Bayan Plain"/>
          <w:b/>
          <w:color w:val="000000"/>
          <w:sz w:val="36"/>
          <w:szCs w:val="40"/>
        </w:rPr>
      </w:pPr>
      <w:r w:rsidRPr="00483C38">
        <w:rPr>
          <w:rFonts w:ascii="Candara" w:hAnsi="Candara"/>
          <w:noProof/>
          <w:color w:val="000000"/>
        </w:rPr>
        <w:drawing>
          <wp:anchor distT="0" distB="0" distL="114300" distR="114300" simplePos="0" relativeHeight="251661312" behindDoc="1" locked="0" layoutInCell="1" allowOverlap="1" wp14:anchorId="23DBA906" wp14:editId="46AB5D8F">
            <wp:simplePos x="0" y="0"/>
            <wp:positionH relativeFrom="page">
              <wp:align>right</wp:align>
            </wp:positionH>
            <wp:positionV relativeFrom="paragraph">
              <wp:posOffset>-1086485</wp:posOffset>
            </wp:positionV>
            <wp:extent cx="7556740" cy="948687"/>
            <wp:effectExtent l="0" t="0" r="0" b="4445"/>
            <wp:wrapNone/>
            <wp:docPr id="2124295594" name="Picture 212429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JHS.png"/>
                    <pic:cNvPicPr/>
                  </pic:nvPicPr>
                  <pic:blipFill>
                    <a:blip r:embed="rId9">
                      <a:extLst>
                        <a:ext uri="{28A0092B-C50C-407E-A947-70E740481C1C}">
                          <a14:useLocalDpi xmlns:a14="http://schemas.microsoft.com/office/drawing/2010/main" val="0"/>
                        </a:ext>
                      </a:extLst>
                    </a:blip>
                    <a:stretch>
                      <a:fillRect/>
                    </a:stretch>
                  </pic:blipFill>
                  <pic:spPr>
                    <a:xfrm>
                      <a:off x="0" y="0"/>
                      <a:ext cx="7556740" cy="948687"/>
                    </a:xfrm>
                    <a:prstGeom prst="rect">
                      <a:avLst/>
                    </a:prstGeom>
                  </pic:spPr>
                </pic:pic>
              </a:graphicData>
            </a:graphic>
            <wp14:sizeRelH relativeFrom="page">
              <wp14:pctWidth>0</wp14:pctWidth>
            </wp14:sizeRelH>
            <wp14:sizeRelV relativeFrom="page">
              <wp14:pctHeight>0</wp14:pctHeight>
            </wp14:sizeRelV>
          </wp:anchor>
        </w:drawing>
      </w:r>
      <w:r w:rsidR="00C603CA" w:rsidRPr="00483C38">
        <w:rPr>
          <w:rFonts w:ascii="Candara" w:eastAsia="Tahoma" w:hAnsi="Candara" w:cs="Al Bayan Plain"/>
          <w:b/>
          <w:color w:val="000000"/>
          <w:sz w:val="36"/>
          <w:szCs w:val="40"/>
        </w:rPr>
        <w:t xml:space="preserve">Quantitative Study of Antibiotic Use in Urinary Tract Infection Patients at RSU X </w:t>
      </w:r>
      <w:r w:rsidR="001253DC" w:rsidRPr="00483C38">
        <w:rPr>
          <w:rFonts w:ascii="Candara" w:eastAsia="Tahoma" w:hAnsi="Candara" w:cs="Al Bayan Plain"/>
          <w:b/>
          <w:color w:val="000000"/>
          <w:sz w:val="36"/>
          <w:szCs w:val="40"/>
        </w:rPr>
        <w:t xml:space="preserve">in </w:t>
      </w:r>
      <w:r w:rsidR="00C603CA" w:rsidRPr="00483C38">
        <w:rPr>
          <w:rFonts w:ascii="Candara" w:eastAsia="Tahoma" w:hAnsi="Candara" w:cs="Al Bayan Plain"/>
          <w:b/>
          <w:color w:val="000000"/>
          <w:sz w:val="36"/>
          <w:szCs w:val="40"/>
        </w:rPr>
        <w:t>East Jakarta 2019</w:t>
      </w:r>
    </w:p>
    <w:p w14:paraId="14E0BC87" w14:textId="77777777" w:rsidR="00715CAD" w:rsidRPr="00483C38" w:rsidRDefault="00715CAD" w:rsidP="009D1093">
      <w:pPr>
        <w:pBdr>
          <w:top w:val="nil"/>
          <w:left w:val="nil"/>
          <w:bottom w:val="nil"/>
          <w:right w:val="nil"/>
          <w:between w:val="nil"/>
        </w:pBdr>
        <w:tabs>
          <w:tab w:val="center" w:pos="4680"/>
          <w:tab w:val="right" w:pos="9360"/>
        </w:tabs>
        <w:spacing w:line="240" w:lineRule="auto"/>
        <w:ind w:left="2" w:hanging="4"/>
        <w:jc w:val="center"/>
        <w:rPr>
          <w:rFonts w:ascii="Candara" w:eastAsia="Tahoma" w:hAnsi="Candara" w:cs="Al Bayan Plain"/>
          <w:color w:val="000000"/>
          <w:sz w:val="40"/>
          <w:szCs w:val="40"/>
        </w:rPr>
      </w:pPr>
    </w:p>
    <w:p w14:paraId="2F422EF9" w14:textId="0481A152" w:rsidR="00715CAD" w:rsidRPr="00483C38" w:rsidRDefault="00715CAD" w:rsidP="00AE7E6D">
      <w:pPr>
        <w:spacing w:line="240" w:lineRule="auto"/>
        <w:ind w:leftChars="0" w:left="0" w:firstLineChars="0" w:firstLine="0"/>
        <w:rPr>
          <w:rFonts w:ascii="Candara" w:eastAsia="Tahoma" w:hAnsi="Candara" w:cs="Al Bayan Plain"/>
          <w:b/>
        </w:rPr>
      </w:pPr>
      <w:r w:rsidRPr="00483C38">
        <w:rPr>
          <w:rFonts w:ascii="Candara" w:eastAsia="Tahoma" w:hAnsi="Candara" w:cs="Al Bayan Plain"/>
          <w:b/>
        </w:rPr>
        <w:t>Delina Hasan, Yardi, Rosa Amalia</w:t>
      </w:r>
    </w:p>
    <w:p w14:paraId="69261127" w14:textId="7C1685BA" w:rsidR="00715CAD" w:rsidRPr="00483C38" w:rsidRDefault="00715CAD" w:rsidP="00715CAD">
      <w:pPr>
        <w:spacing w:line="240" w:lineRule="auto"/>
        <w:ind w:left="0" w:hanging="2"/>
        <w:rPr>
          <w:rFonts w:ascii="Candara" w:eastAsia="Tahoma" w:hAnsi="Candara" w:cs="Al Bayan Plain"/>
          <w:bCs/>
        </w:rPr>
      </w:pPr>
      <w:proofErr w:type="spellStart"/>
      <w:r w:rsidRPr="00483C38">
        <w:rPr>
          <w:rFonts w:ascii="Candara" w:eastAsia="Tahoma" w:hAnsi="Candara" w:cs="Al Bayan Plain"/>
          <w:bCs/>
        </w:rPr>
        <w:t>Departemen</w:t>
      </w:r>
      <w:proofErr w:type="spellEnd"/>
      <w:r w:rsidRPr="00483C38">
        <w:rPr>
          <w:rFonts w:ascii="Candara" w:eastAsia="Tahoma" w:hAnsi="Candara" w:cs="Al Bayan Plain"/>
          <w:bCs/>
        </w:rPr>
        <w:t xml:space="preserve"> Farmasi Universitas Pancasila, Jakarta</w:t>
      </w:r>
    </w:p>
    <w:p w14:paraId="2C79A6C1" w14:textId="40CD8DD3" w:rsidR="00715CAD" w:rsidRPr="00483C38" w:rsidRDefault="00715CAD" w:rsidP="00715CAD">
      <w:pPr>
        <w:spacing w:line="240" w:lineRule="auto"/>
        <w:ind w:left="0" w:hanging="2"/>
        <w:rPr>
          <w:rFonts w:ascii="Candara" w:eastAsia="Tahoma" w:hAnsi="Candara" w:cs="Al Bayan Plain"/>
          <w:bCs/>
        </w:rPr>
      </w:pPr>
      <w:proofErr w:type="spellStart"/>
      <w:r w:rsidRPr="00483C38">
        <w:rPr>
          <w:rFonts w:ascii="Candara" w:eastAsia="Tahoma" w:hAnsi="Candara" w:cs="Al Bayan Plain"/>
          <w:bCs/>
        </w:rPr>
        <w:t>Departemen</w:t>
      </w:r>
      <w:proofErr w:type="spellEnd"/>
      <w:r w:rsidRPr="00483C38">
        <w:rPr>
          <w:rFonts w:ascii="Candara" w:eastAsia="Tahoma" w:hAnsi="Candara" w:cs="Al Bayan Plain"/>
          <w:bCs/>
        </w:rPr>
        <w:t xml:space="preserve"> Farmasi UIN </w:t>
      </w:r>
      <w:proofErr w:type="spellStart"/>
      <w:r w:rsidRPr="00483C38">
        <w:rPr>
          <w:rFonts w:ascii="Candara" w:eastAsia="Tahoma" w:hAnsi="Candara" w:cs="Al Bayan Plain"/>
          <w:bCs/>
        </w:rPr>
        <w:t>Syarif</w:t>
      </w:r>
      <w:proofErr w:type="spellEnd"/>
      <w:r w:rsidRPr="00483C38">
        <w:rPr>
          <w:rFonts w:ascii="Candara" w:eastAsia="Tahoma" w:hAnsi="Candara" w:cs="Al Bayan Plain"/>
          <w:bCs/>
        </w:rPr>
        <w:t xml:space="preserve"> Hidayatullah Jakarta </w:t>
      </w:r>
    </w:p>
    <w:p w14:paraId="345CEC5F" w14:textId="1A7843F6" w:rsidR="00E35D87" w:rsidRPr="00483C38" w:rsidRDefault="00D50257" w:rsidP="00715CAD">
      <w:pPr>
        <w:spacing w:line="240" w:lineRule="auto"/>
        <w:ind w:left="0" w:hanging="2"/>
        <w:rPr>
          <w:rFonts w:ascii="Candara" w:eastAsia="Tahoma" w:hAnsi="Candara" w:cs="Al Bayan Plain"/>
        </w:rPr>
      </w:pPr>
      <w:r w:rsidRPr="00483C38">
        <w:rPr>
          <w:rFonts w:ascii="Candara" w:eastAsia="Tahoma" w:hAnsi="Candara" w:cs="Al Bayan Plain"/>
        </w:rPr>
        <w:t xml:space="preserve">Email: </w:t>
      </w:r>
      <w:proofErr w:type="gramStart"/>
      <w:r w:rsidR="00715CAD" w:rsidRPr="00483C38">
        <w:rPr>
          <w:rFonts w:ascii="Candara" w:hAnsi="Candara"/>
        </w:rPr>
        <w:t>delina.hasan</w:t>
      </w:r>
      <w:proofErr w:type="gramEnd"/>
      <w:r w:rsidR="00715CAD" w:rsidRPr="00483C38">
        <w:rPr>
          <w:rFonts w:ascii="Candara" w:hAnsi="Candara"/>
        </w:rPr>
        <w:t>01@gmail,com</w:t>
      </w:r>
    </w:p>
    <w:tbl>
      <w:tblPr>
        <w:tblStyle w:val="a"/>
        <w:tblpPr w:leftFromText="180" w:rightFromText="180" w:vertAnchor="text" w:horzAnchor="margin" w:tblpY="106"/>
        <w:tblW w:w="8721"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268"/>
        <w:gridCol w:w="6453"/>
      </w:tblGrid>
      <w:tr w:rsidR="009C3D9E" w:rsidRPr="00483C38" w14:paraId="1B3040C4" w14:textId="77777777" w:rsidTr="009C3D9E">
        <w:trPr>
          <w:cantSplit/>
          <w:trHeight w:val="4021"/>
        </w:trPr>
        <w:tc>
          <w:tcPr>
            <w:tcW w:w="2268" w:type="dxa"/>
            <w:tcBorders>
              <w:top w:val="single" w:sz="4" w:space="0" w:color="auto"/>
              <w:bottom w:val="single" w:sz="4" w:space="0" w:color="auto"/>
            </w:tcBorders>
          </w:tcPr>
          <w:p w14:paraId="4EA60B58" w14:textId="562B6B5A" w:rsidR="009C3D9E" w:rsidRPr="00483C38" w:rsidRDefault="009C3D9E" w:rsidP="009D1093">
            <w:pPr>
              <w:pStyle w:val="NormalWeb"/>
              <w:spacing w:before="0" w:beforeAutospacing="0" w:after="0" w:afterAutospacing="0"/>
              <w:ind w:hanging="2"/>
              <w:rPr>
                <w:rFonts w:ascii="Candara" w:hAnsi="Candara" w:cs="Al Bayan Plain"/>
                <w:sz w:val="20"/>
                <w:szCs w:val="20"/>
              </w:rPr>
            </w:pPr>
            <w:r w:rsidRPr="00483C38">
              <w:rPr>
                <w:rFonts w:ascii="Candara" w:hAnsi="Candara" w:cs="Al Bayan Plain"/>
                <w:b/>
                <w:bCs/>
                <w:i/>
                <w:iCs/>
                <w:color w:val="000000"/>
                <w:sz w:val="20"/>
                <w:szCs w:val="20"/>
              </w:rPr>
              <w:t>Keywords</w:t>
            </w:r>
            <w:r w:rsidRPr="00483C38">
              <w:rPr>
                <w:rFonts w:ascii="Candara" w:hAnsi="Candara" w:cs="Al Bayan Plain"/>
                <w:iCs/>
                <w:color w:val="000000"/>
                <w:sz w:val="20"/>
                <w:szCs w:val="20"/>
              </w:rPr>
              <w:t>:</w:t>
            </w:r>
          </w:p>
          <w:p w14:paraId="497D8E09" w14:textId="77777777" w:rsidR="005233A0" w:rsidRPr="00483C38" w:rsidRDefault="005233A0" w:rsidP="005233A0">
            <w:pPr>
              <w:pStyle w:val="NormalWeb"/>
              <w:spacing w:before="0" w:beforeAutospacing="0" w:after="0" w:afterAutospacing="0"/>
              <w:rPr>
                <w:rFonts w:ascii="Candara" w:hAnsi="Candara" w:cs="Al Bayan Plain"/>
                <w:color w:val="000000"/>
                <w:sz w:val="20"/>
                <w:szCs w:val="20"/>
              </w:rPr>
            </w:pPr>
            <w:r w:rsidRPr="00483C38">
              <w:rPr>
                <w:rFonts w:ascii="Candara" w:hAnsi="Candara" w:cs="Al Bayan Plain"/>
                <w:iCs/>
                <w:color w:val="000000"/>
                <w:sz w:val="20"/>
                <w:szCs w:val="20"/>
              </w:rPr>
              <w:t>Antibiotics, urinary tract infections, ATC/DDD, DU 90%</w:t>
            </w:r>
          </w:p>
          <w:p w14:paraId="41EA4054"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52B29D9F"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2955C510"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5A75CAA8"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73EC72AF"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50F893BE"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6B48B6B7"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5F966A63"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287C44FD" w14:textId="77777777" w:rsidR="009C3D9E" w:rsidRPr="00483C38" w:rsidRDefault="009C3D9E" w:rsidP="009D1093">
            <w:pPr>
              <w:pStyle w:val="NormalWeb"/>
              <w:spacing w:before="0" w:beforeAutospacing="0" w:after="0" w:afterAutospacing="0"/>
              <w:rPr>
                <w:rFonts w:ascii="Candara" w:hAnsi="Candara" w:cs="Al Bayan Plain"/>
                <w:color w:val="000000"/>
                <w:sz w:val="20"/>
                <w:szCs w:val="20"/>
              </w:rPr>
            </w:pPr>
          </w:p>
          <w:p w14:paraId="426F5C67" w14:textId="77777777" w:rsidR="009C3D9E" w:rsidRPr="00483C38" w:rsidRDefault="009C3D9E" w:rsidP="009D1093">
            <w:pPr>
              <w:spacing w:line="240" w:lineRule="auto"/>
              <w:ind w:left="0" w:hanging="2"/>
              <w:textDirection w:val="lrTb"/>
              <w:rPr>
                <w:rFonts w:ascii="Candara" w:eastAsia="Tahoma" w:hAnsi="Candara" w:cs="Al Bayan Plain"/>
                <w:sz w:val="20"/>
                <w:szCs w:val="20"/>
              </w:rPr>
            </w:pPr>
          </w:p>
        </w:tc>
        <w:tc>
          <w:tcPr>
            <w:tcW w:w="6453" w:type="dxa"/>
            <w:tcBorders>
              <w:top w:val="single" w:sz="4" w:space="0" w:color="auto"/>
              <w:bottom w:val="single" w:sz="4" w:space="0" w:color="auto"/>
            </w:tcBorders>
          </w:tcPr>
          <w:p w14:paraId="0447C911" w14:textId="77777777" w:rsidR="00265B12" w:rsidRPr="00483C38" w:rsidRDefault="00265B12" w:rsidP="005C4A43">
            <w:pPr>
              <w:pStyle w:val="NormalWeb"/>
              <w:spacing w:before="0" w:beforeAutospacing="0" w:after="0" w:afterAutospacing="0"/>
              <w:jc w:val="both"/>
              <w:rPr>
                <w:rFonts w:ascii="Candara" w:hAnsi="Candara"/>
                <w:b/>
                <w:bCs/>
                <w:position w:val="-1"/>
                <w:sz w:val="20"/>
                <w:szCs w:val="20"/>
                <w:lang w:eastAsia="ar-SA"/>
              </w:rPr>
            </w:pPr>
            <w:r w:rsidRPr="00483C38">
              <w:rPr>
                <w:rFonts w:ascii="Candara" w:hAnsi="Candara"/>
                <w:b/>
                <w:bCs/>
                <w:position w:val="-1"/>
                <w:sz w:val="20"/>
                <w:szCs w:val="20"/>
                <w:lang w:eastAsia="ar-SA"/>
              </w:rPr>
              <w:t>ABSTRACT</w:t>
            </w:r>
          </w:p>
          <w:p w14:paraId="3998EC83" w14:textId="77777777" w:rsidR="005C4A43" w:rsidRPr="00483C38" w:rsidRDefault="00715CAD" w:rsidP="005C4A43">
            <w:pPr>
              <w:pStyle w:val="NormalWeb"/>
              <w:spacing w:before="0" w:beforeAutospacing="0" w:after="0" w:afterAutospacing="0"/>
              <w:jc w:val="both"/>
              <w:rPr>
                <w:rFonts w:ascii="Candara" w:hAnsi="Candara"/>
                <w:position w:val="-1"/>
                <w:sz w:val="20"/>
                <w:szCs w:val="20"/>
                <w:lang w:eastAsia="ar-SA"/>
              </w:rPr>
            </w:pPr>
            <w:r w:rsidRPr="00483C38">
              <w:rPr>
                <w:rFonts w:ascii="Candara" w:hAnsi="Candara"/>
                <w:position w:val="-1"/>
                <w:sz w:val="20"/>
                <w:szCs w:val="20"/>
                <w:lang w:eastAsia="ar-SA"/>
              </w:rPr>
              <w:t xml:space="preserve">Urinary tract infection is a health problem that can increase morbidity and even increase the death rate both in Indonesia and in the world. Urinary tract infection is the second most common infectious disease after upper respiratory tract infection which in its treatment must use antibiotic therapy, so the treatment must be appropriate and rational. The purpose of this study was to determine the use of antibiotics quantitatively using the ATC/DDD and 90% DU methods in patients with urinary tract infections at RSU X in East Jakarta. Methods, </w:t>
            </w:r>
            <w:proofErr w:type="gramStart"/>
            <w:r w:rsidRPr="00483C38">
              <w:rPr>
                <w:rFonts w:ascii="Candara" w:hAnsi="Candara"/>
                <w:position w:val="-1"/>
                <w:sz w:val="20"/>
                <w:szCs w:val="20"/>
                <w:lang w:eastAsia="ar-SA"/>
              </w:rPr>
              <w:t>This</w:t>
            </w:r>
            <w:proofErr w:type="gramEnd"/>
            <w:r w:rsidRPr="00483C38">
              <w:rPr>
                <w:rFonts w:ascii="Candara" w:hAnsi="Candara"/>
                <w:position w:val="-1"/>
                <w:sz w:val="20"/>
                <w:szCs w:val="20"/>
                <w:lang w:eastAsia="ar-SA"/>
              </w:rPr>
              <w:t xml:space="preserve"> research is a descriptive study using a cross-sectional design. Data collection was carried out retrospectively through the medical records of urinary tract infection patients at RSU X in East Jakarta in 2019, data analysis was carried out using the ATC/DDD method and DU 90%, sample size was 115 urinary tract infection patients who met the inclusion and exclusion criteria. The results showed that the total DDD/100 patient-days in this study was 96.65% with the highest type of antibiotic, namely levofloxacin, 44.07% DDD/100 patient-days. Drugs included in the DU segment 90% were levofloxacin (45.60%), ceftriaxone (21.54%), </w:t>
            </w:r>
            <w:proofErr w:type="spellStart"/>
            <w:r w:rsidRPr="00483C38">
              <w:rPr>
                <w:rFonts w:ascii="Candara" w:hAnsi="Candara"/>
                <w:position w:val="-1"/>
                <w:sz w:val="20"/>
                <w:szCs w:val="20"/>
                <w:lang w:eastAsia="ar-SA"/>
              </w:rPr>
              <w:t>cefoperazone</w:t>
            </w:r>
            <w:proofErr w:type="spellEnd"/>
            <w:r w:rsidRPr="00483C38">
              <w:rPr>
                <w:rFonts w:ascii="Candara" w:hAnsi="Candara"/>
                <w:position w:val="-1"/>
                <w:sz w:val="20"/>
                <w:szCs w:val="20"/>
                <w:lang w:eastAsia="ar-SA"/>
              </w:rPr>
              <w:t xml:space="preserve"> (11.33%), and amoxicillin clavulanate (9.00%).  Keywords: Antibiotics, urinary tract infection, ATC/DDD, 90% DU</w:t>
            </w:r>
          </w:p>
          <w:p w14:paraId="375A3857" w14:textId="6D19538A" w:rsidR="00715CAD" w:rsidRPr="00483C38" w:rsidRDefault="00715CAD" w:rsidP="005C4A43">
            <w:pPr>
              <w:pStyle w:val="NormalWeb"/>
              <w:spacing w:before="0" w:beforeAutospacing="0" w:after="0" w:afterAutospacing="0"/>
              <w:jc w:val="both"/>
              <w:rPr>
                <w:rFonts w:ascii="Candara" w:hAnsi="Candara"/>
                <w:position w:val="-1"/>
                <w:sz w:val="20"/>
                <w:szCs w:val="20"/>
                <w:lang w:eastAsia="ar-SA"/>
              </w:rPr>
            </w:pPr>
          </w:p>
        </w:tc>
      </w:tr>
    </w:tbl>
    <w:p w14:paraId="7620212B" w14:textId="77777777" w:rsidR="003A2E1A" w:rsidRPr="00483C38" w:rsidRDefault="003A2E1A" w:rsidP="009D1093">
      <w:pPr>
        <w:spacing w:line="240" w:lineRule="auto"/>
        <w:ind w:leftChars="0" w:left="0" w:firstLineChars="0" w:firstLine="0"/>
        <w:rPr>
          <w:rFonts w:ascii="Candara" w:eastAsia="Arial" w:hAnsi="Candara" w:cs="Al Bayan Plain"/>
          <w:sz w:val="20"/>
          <w:szCs w:val="20"/>
        </w:rPr>
      </w:pPr>
    </w:p>
    <w:p w14:paraId="21E5ACFB" w14:textId="363C1C45" w:rsidR="005C4A43" w:rsidRPr="00483C38" w:rsidRDefault="005C4A43" w:rsidP="009D1093">
      <w:pPr>
        <w:spacing w:line="240" w:lineRule="auto"/>
        <w:ind w:leftChars="0" w:left="0" w:firstLineChars="0" w:firstLine="0"/>
        <w:rPr>
          <w:rFonts w:ascii="Candara" w:eastAsia="Arial" w:hAnsi="Candara" w:cs="Al Bayan Plain"/>
          <w:sz w:val="20"/>
          <w:szCs w:val="20"/>
        </w:rPr>
        <w:sectPr w:rsidR="005C4A43" w:rsidRPr="00483C38" w:rsidSect="00AE7E6D">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720" w:footer="680" w:gutter="0"/>
          <w:pgNumType w:start="74"/>
          <w:cols w:space="720"/>
          <w:titlePg/>
        </w:sectPr>
      </w:pPr>
    </w:p>
    <w:p w14:paraId="1A4F6853" w14:textId="77777777" w:rsidR="00E35D87" w:rsidRPr="00483C38" w:rsidRDefault="00E35D87" w:rsidP="009D1093">
      <w:pPr>
        <w:spacing w:line="240" w:lineRule="auto"/>
        <w:ind w:leftChars="0" w:left="0" w:firstLineChars="0" w:firstLine="0"/>
        <w:jc w:val="both"/>
        <w:rPr>
          <w:rFonts w:ascii="Candara" w:eastAsia="Tahoma" w:hAnsi="Candara" w:cs="Al Bayan Plain"/>
          <w:b/>
          <w:sz w:val="22"/>
        </w:rPr>
      </w:pPr>
      <w:r w:rsidRPr="00483C38">
        <w:rPr>
          <w:rFonts w:ascii="Candara" w:eastAsia="Tahoma" w:hAnsi="Candara" w:cs="Al Bayan Plain"/>
          <w:b/>
          <w:sz w:val="22"/>
        </w:rPr>
        <w:t>INTRODUCTION</w:t>
      </w:r>
    </w:p>
    <w:p w14:paraId="3D65A18C" w14:textId="7F11840A" w:rsidR="005233A0" w:rsidRPr="00483C38" w:rsidRDefault="005233A0" w:rsidP="001647C1">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Infectious diseases are one of the main health problems that cause morbidity and even mortality of millions of people in various developed and developing countries including Indonesia</w:t>
      </w:r>
      <w:r w:rsidR="00E0244F" w:rsidRPr="00483C38">
        <w:rPr>
          <w:rFonts w:ascii="Candara" w:eastAsia="Tahoma" w:hAnsi="Candara" w:cs="Al Bayan Plain"/>
          <w:position w:val="0"/>
          <w:lang w:eastAsia="en-US"/>
        </w:rPr>
        <w:t xml:space="preserve"> </w:t>
      </w:r>
      <w:r w:rsidR="00E0244F" w:rsidRPr="00483C38">
        <w:rPr>
          <w:rFonts w:ascii="Candara" w:eastAsia="Tahoma" w:hAnsi="Candara" w:cs="Al Bayan Plain"/>
          <w:position w:val="0"/>
          <w:lang w:eastAsia="en-US"/>
        </w:rPr>
        <w:fldChar w:fldCharType="begin" w:fldLock="1"/>
      </w:r>
      <w:r w:rsidR="00E0244F" w:rsidRPr="00483C38">
        <w:rPr>
          <w:rFonts w:ascii="Candara" w:eastAsia="Tahoma" w:hAnsi="Candara" w:cs="Al Bayan Plain"/>
          <w:position w:val="0"/>
          <w:lang w:eastAsia="en-US"/>
        </w:rPr>
        <w:instrText>ADDIN CSL_CITATION {"citationItems":[{"id":"ITEM-1","itemData":{"ISSN":"1972-2680","author":[{"dropping-particle":"","family":"Hikmawati","given":"Isna","non-dropping-particle":"","parse-names":false,"suffix":""},{"dropping-particle":"","family":"Setiyabudi","given":"Ragil","non-dropping-particle":"","parse-names":false,"suffix":""}],"container-title":"The Journal of Infection in Developing Countries","id":"ITEM-1","issue":"05","issued":{"date-parts":[["2021"]]},"page":"646-652","title":"Epidemiology of COVID-19 in Indonesia: common source and propagated source as a cause for outbreaks","type":"article-journal","volume":"15"},"uris":["http://www.mendeley.com/documents/?uuid=1912e4d5-86b5-4f10-99ec-00a76031ddbf"]}],"mendeley":{"formattedCitation":"(Hikmawati and Setiyabudi, 2021)","plainTextFormattedCitation":"(Hikmawati and Setiyabudi, 2021)","previouslyFormattedCitation":"(Hikmawati and Setiyabudi, 2021)"},"properties":{"noteIndex":0},"schema":"https://github.com/citation-style-language/schema/raw/master/csl-citation.json"}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(Hikmawati and Setiyabudi, 2021)</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 The World Health Organization (WHO) states that as many as more than 16 million deaths in the world in 2016 were caused by infectious diseases, one of which is urinary tract infections</w:t>
      </w:r>
      <w:r w:rsidR="00E0244F" w:rsidRPr="00483C38">
        <w:rPr>
          <w:rFonts w:ascii="Candara" w:eastAsia="Tahoma" w:hAnsi="Candara" w:cs="Al Bayan Plain"/>
          <w:position w:val="0"/>
          <w:lang w:eastAsia="en-US"/>
        </w:rPr>
        <w:t xml:space="preserve"> </w:t>
      </w:r>
      <w:r w:rsidR="00E0244F" w:rsidRPr="00483C38">
        <w:rPr>
          <w:rFonts w:ascii="Candara" w:eastAsia="Tahoma" w:hAnsi="Candara" w:cs="Al Bayan Plain"/>
          <w:position w:val="0"/>
          <w:lang w:eastAsia="en-US"/>
        </w:rPr>
        <w:fldChar w:fldCharType="begin" w:fldLock="1"/>
      </w:r>
      <w:r w:rsidR="00E0244F" w:rsidRPr="00483C38">
        <w:rPr>
          <w:rFonts w:ascii="Candara" w:eastAsia="Tahoma" w:hAnsi="Candara" w:cs="Al Bayan Plain"/>
          <w:position w:val="0"/>
          <w:lang w:eastAsia="en-US"/>
        </w:rPr>
        <w:instrText>ADDIN CSL_CITATION {"citationItems":[{"id":"ITEM-1","itemData":{"ISSN":"2191-1630","author":[{"dropping-particle":"","family":"Talebi Bezmin Abadi","given":"Amin","non-dropping-particle":"","parse-names":false,"suffix":""},{"dropping-particle":"","family":"Rizvanov","given":"Albert A","non-dropping-particle":"","parse-names":false,"suffix":""},{"dropping-particle":"","family":"Haertlé","given":"Thomas","non-dropping-particle":"","parse-names":false,"suffix":""},{"dropping-particle":"","family":"Blatt","given":"Nataliya L","non-dropping-particle":"","parse-names":false,"suffix":""}],"container-title":"BioNanoScience","id":"ITEM-1","issued":{"date-parts":[["2019"]]},"page":"778-788","publisher":"Springer","title":"World Health Organization report: current crisis of antibiotic resistance","type":"article-journal","volume":"9"},"uris":["http://www.mendeley.com/documents/?uuid=0f1c0a1c-95a2-42a9-8398-62eb977c7583"]}],"mendeley":{"formattedCitation":"(Talebi Bezmin Abadi &lt;i&gt;et al.&lt;/i&gt;, 2019)","plainTextFormattedCitation":"(Talebi Bezmin Abadi et al., 2019)","previouslyFormattedCitation":"(Talebi Bezmin Abadi &lt;i&gt;et al.&lt;/i&gt;, 2019)"},"properties":{"noteIndex":0},"schema":"https://github.com/citation-style-language/schema/raw/master/csl-citation.json"}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 xml:space="preserve">(Talebi Bezmin Abadi </w:t>
      </w:r>
      <w:r w:rsidR="00E0244F" w:rsidRPr="00483C38">
        <w:rPr>
          <w:rFonts w:ascii="Candara" w:eastAsia="Tahoma" w:hAnsi="Candara" w:cs="Al Bayan Plain"/>
          <w:i/>
          <w:noProof/>
          <w:position w:val="0"/>
          <w:lang w:eastAsia="en-US"/>
        </w:rPr>
        <w:t>et al.</w:t>
      </w:r>
      <w:r w:rsidR="00E0244F" w:rsidRPr="00483C38">
        <w:rPr>
          <w:rFonts w:ascii="Candara" w:eastAsia="Tahoma" w:hAnsi="Candara" w:cs="Al Bayan Plain"/>
          <w:noProof/>
          <w:position w:val="0"/>
          <w:lang w:eastAsia="en-US"/>
        </w:rPr>
        <w:t>, 2019)</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w:t>
      </w:r>
    </w:p>
    <w:p w14:paraId="6CB39CDE" w14:textId="599A12B8" w:rsidR="00715CAD" w:rsidRPr="00483C38" w:rsidRDefault="005233A0" w:rsidP="00715CAD">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Urinary tract infection (UTI) is an infectious disease that occurs due to the presence of bacteria in the urine with very large numbers</w:t>
      </w:r>
      <w:r w:rsidR="00E0244F" w:rsidRPr="00483C38">
        <w:rPr>
          <w:rFonts w:ascii="Candara" w:eastAsia="Tahoma" w:hAnsi="Candara" w:cs="Al Bayan Plain"/>
          <w:position w:val="0"/>
          <w:lang w:eastAsia="en-US"/>
        </w:rPr>
        <w:t xml:space="preserve"> </w:t>
      </w:r>
      <w:r w:rsidR="00E0244F" w:rsidRPr="00483C38">
        <w:rPr>
          <w:rFonts w:ascii="Candara" w:eastAsia="Tahoma" w:hAnsi="Candara" w:cs="Al Bayan Plain"/>
          <w:position w:val="0"/>
          <w:lang w:eastAsia="en-US"/>
        </w:rPr>
        <w:fldChar w:fldCharType="begin" w:fldLock="1"/>
      </w:r>
      <w:r w:rsidR="00E0244F" w:rsidRPr="00483C38">
        <w:rPr>
          <w:rFonts w:ascii="Candara" w:eastAsia="Tahoma" w:hAnsi="Candara" w:cs="Al Bayan Plain"/>
          <w:position w:val="0"/>
          <w:lang w:eastAsia="en-US"/>
        </w:rPr>
        <w:instrText>ADDIN CSL_CITATION {"citationItems":[{"id":"ITEM-1","itemData":{"ISSN":"2545-4870","author":[{"dropping-particle":"","family":"Beadini","given":"Albin","non-dropping-particle":"","parse-names":false,"suffix":""},{"dropping-particle":"","family":"Beadini","given":"Albulena","non-dropping-particle":"","parse-names":false,"suffix":""},{"dropping-particle":"","family":"Veliu","given":"Learta","non-dropping-particle":"","parse-names":false,"suffix":""},{"dropping-particle":"","family":"Elezi","given":"Adelina","non-dropping-particle":"","parse-names":false,"suffix":""},{"dropping-particle":"","family":"Aliu","given":"Jehona","non-dropping-particle":"","parse-names":false,"suffix":""},{"dropping-particle":"","family":"Haklaj","given":"Rexhep","non-dropping-particle":"","parse-names":false,"suffix":""}],"container-title":"ACTA MEDICA BALKANICA International Journal of Medical Sciences","id":"ITEM-1","issue":"15-16","issued":{"date-parts":[["2023"]]},"page":"43-50","publisher":"Faculty of Medical Sciences, Tetova","title":"URINE ANALYSIS AND URINARY TRACT INFECTIONS IN THE REGION OF THE POPULATION OF TETOVO","type":"article-journal","volume":"8"},"uris":["http://www.mendeley.com/documents/?uuid=cd12bd2f-3818-4e75-8a94-eecb456a35f8"]}],"mendeley":{"formattedCitation":"(Beadini &lt;i&gt;et al.&lt;/i&gt;, 2023)","plainTextFormattedCitation":"(Beadini et al., 2023)","previouslyFormattedCitation":"(Beadini &lt;i&gt;et al.&lt;/i&gt;, 2023)"},"properties":{"noteIndex":0},"schema":"https://github.com/citation-style-language/schema/raw/master/csl-citation.json"}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 xml:space="preserve">(Beadini </w:t>
      </w:r>
      <w:r w:rsidR="00E0244F" w:rsidRPr="00483C38">
        <w:rPr>
          <w:rFonts w:ascii="Candara" w:eastAsia="Tahoma" w:hAnsi="Candara" w:cs="Al Bayan Plain"/>
          <w:i/>
          <w:noProof/>
          <w:position w:val="0"/>
          <w:lang w:eastAsia="en-US"/>
        </w:rPr>
        <w:t>et al.</w:t>
      </w:r>
      <w:r w:rsidR="00E0244F" w:rsidRPr="00483C38">
        <w:rPr>
          <w:rFonts w:ascii="Candara" w:eastAsia="Tahoma" w:hAnsi="Candara" w:cs="Al Bayan Plain"/>
          <w:noProof/>
          <w:position w:val="0"/>
          <w:lang w:eastAsia="en-US"/>
        </w:rPr>
        <w:t>, 2023)</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 Urinary tract infections are the second most common infectious disease after upper respiratory tract infections</w:t>
      </w:r>
      <w:r w:rsidR="00E0244F" w:rsidRPr="00483C38">
        <w:rPr>
          <w:rFonts w:ascii="Candara" w:eastAsia="Tahoma" w:hAnsi="Candara" w:cs="Al Bayan Plain"/>
          <w:position w:val="0"/>
          <w:lang w:eastAsia="en-US"/>
        </w:rPr>
        <w:t xml:space="preserve"> </w:t>
      </w:r>
      <w:r w:rsidR="00E0244F" w:rsidRPr="00483C38">
        <w:rPr>
          <w:rFonts w:ascii="Candara" w:eastAsia="Tahoma" w:hAnsi="Candara" w:cs="Al Bayan Plain"/>
          <w:position w:val="0"/>
          <w:lang w:eastAsia="en-US"/>
        </w:rPr>
        <w:fldChar w:fldCharType="begin" w:fldLock="1"/>
      </w:r>
      <w:r w:rsidR="00E0244F" w:rsidRPr="00483C38">
        <w:rPr>
          <w:rFonts w:ascii="Candara" w:eastAsia="Tahoma" w:hAnsi="Candara" w:cs="Al Bayan Plain"/>
          <w:position w:val="0"/>
          <w:lang w:eastAsia="en-US"/>
        </w:rPr>
        <w:instrText>ADDIN CSL_CITATION {"citationItems":[{"id":"ITEM-1","itemData":{"ISSN":"2322-1836","author":[{"dropping-particle":"","family":"Noori","given":"Maryam","non-dropping-particle":"","parse-names":false,"suffix":""},{"dropping-particle":"","family":"Aghamohammad","given":"Shadi","non-dropping-particle":"","parse-names":false,"suffix":""},{"dropping-particle":"","family":"Ashrafian","given":"Fatemeh","non-dropping-particle":"","parse-names":false,"suffix":""},{"dropping-particle":"","family":"Gholami","given":"Mehrdad","non-dropping-particle":"","parse-names":false,"suffix":""},{"dropping-particle":"","family":"Dabiri","given":"Hossein","non-dropping-particle":"","parse-names":false,"suffix":""},{"dropping-particle":"","family":"Goudarzi","given":"Hossein","non-dropping-particle":"","parse-names":false,"suffix":""}],"container-title":"Archives of Pediatric Infectious Diseases","id":"ITEM-1","issue":"2","issued":{"date-parts":[["2023"]]},"publisher":"Brieflands","title":"A Retrospective Cross-sectional Study on Prevalence and Susceptibility Pattern of Bacterial Pathogens Causing Urinary Tract Infections at a Teaching Hospital in Tehran, Iran","type":"article-journal","volume":"11"},"uris":["http://www.mendeley.com/documents/?uuid=779d5e9a-3ecf-43eb-9ee7-cc3028d23ed3"]}],"mendeley":{"formattedCitation":"(Noori &lt;i&gt;et al.&lt;/i&gt;, 2023)","plainTextFormattedCitation":"(Noori et al., 2023)","previouslyFormattedCitation":"(Noori &lt;i&gt;et al.&lt;/i&gt;, 2023)"},"properties":{"noteIndex":0},"schema":"https://github.com/citation-style-language/schema/raw/master/csl-citation.json"}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 xml:space="preserve">(Noori </w:t>
      </w:r>
      <w:r w:rsidR="00E0244F" w:rsidRPr="00483C38">
        <w:rPr>
          <w:rFonts w:ascii="Candara" w:eastAsia="Tahoma" w:hAnsi="Candara" w:cs="Al Bayan Plain"/>
          <w:i/>
          <w:noProof/>
          <w:position w:val="0"/>
          <w:lang w:eastAsia="en-US"/>
        </w:rPr>
        <w:t>et al.</w:t>
      </w:r>
      <w:r w:rsidR="00E0244F" w:rsidRPr="00483C38">
        <w:rPr>
          <w:rFonts w:ascii="Candara" w:eastAsia="Tahoma" w:hAnsi="Candara" w:cs="Al Bayan Plain"/>
          <w:noProof/>
          <w:position w:val="0"/>
          <w:lang w:eastAsia="en-US"/>
        </w:rPr>
        <w:t>, 2023)</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 The incidence of urinary tract infections in the world is quite high, the results of research by the American Urological Association in 2016, stated that around 150 million people in the world experience urinary tract infections with 1.8 million inpatient visits per year.</w:t>
      </w:r>
      <w:r w:rsidR="00E0244F" w:rsidRPr="00483C38">
        <w:rPr>
          <w:rFonts w:ascii="Candara" w:eastAsia="Tahoma" w:hAnsi="Candara" w:cs="Al Bayan Plain"/>
          <w:position w:val="0"/>
          <w:lang w:eastAsia="en-US"/>
        </w:rPr>
        <w:t xml:space="preserve"> </w:t>
      </w:r>
      <w:r w:rsidRPr="00483C38">
        <w:rPr>
          <w:rFonts w:ascii="Candara" w:eastAsia="Tahoma" w:hAnsi="Candara" w:cs="Al Bayan Plain"/>
          <w:position w:val="0"/>
          <w:lang w:eastAsia="en-US"/>
        </w:rPr>
        <w:t xml:space="preserve"> According to the Centers for Disease Control and Prevention (CDC) in 2007, about 8.6 million people in America suffer from urinary tract infections of which 84% occur in women5. According to the Ministry of Health of the Republic of Indonesia in 2014 quoted by Irawan E, Mulyana (2018) stated that the number of patients with urinary tract </w:t>
      </w:r>
      <w:r w:rsidRPr="00483C38">
        <w:rPr>
          <w:rFonts w:ascii="Candara" w:eastAsia="Tahoma" w:hAnsi="Candara" w:cs="Al Bayan Plain"/>
          <w:position w:val="0"/>
          <w:lang w:eastAsia="en-US"/>
        </w:rPr>
        <w:lastRenderedPageBreak/>
        <w:t>infections in Indonesia is estimated to reach 90-100 cases per 100,000 population per year or around 180,000 cases per year, where the treatment must use antibiotics7.</w:t>
      </w:r>
    </w:p>
    <w:p w14:paraId="369D0DC5" w14:textId="77777777" w:rsidR="005233A0" w:rsidRPr="00483C38" w:rsidRDefault="005233A0" w:rsidP="00B52B72">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Antibiotics used for the treatment of urinary tract infections are generally trimethoprim-sulfamethoxazole, </w:t>
      </w:r>
      <w:proofErr w:type="spellStart"/>
      <w:r w:rsidRPr="00483C38">
        <w:rPr>
          <w:rFonts w:ascii="Candara" w:eastAsia="Tahoma" w:hAnsi="Candara" w:cs="Al Bayan Plain"/>
          <w:position w:val="0"/>
          <w:lang w:eastAsia="en-US"/>
        </w:rPr>
        <w:t>phosphomycin</w:t>
      </w:r>
      <w:proofErr w:type="spellEnd"/>
      <w:r w:rsidRPr="00483C38">
        <w:rPr>
          <w:rFonts w:ascii="Candara" w:eastAsia="Tahoma" w:hAnsi="Candara" w:cs="Al Bayan Plain"/>
          <w:position w:val="0"/>
          <w:lang w:eastAsia="en-US"/>
        </w:rPr>
        <w:t xml:space="preserve">, nitrofurantoin, ciprofloxacin, levofloxacin, and amoxicillin clavulanate4. Based on a preliminary survey of antibiotic use at RSU X January-December 2019, it shows that antibiotics used to treat urinary tract infections include cefixime, ceftriaxone, meropenem, ciprofloxacin, levofloxacin, </w:t>
      </w:r>
      <w:proofErr w:type="spellStart"/>
      <w:r w:rsidRPr="00483C38">
        <w:rPr>
          <w:rFonts w:ascii="Candara" w:eastAsia="Tahoma" w:hAnsi="Candara" w:cs="Al Bayan Plain"/>
          <w:position w:val="0"/>
          <w:lang w:eastAsia="en-US"/>
        </w:rPr>
        <w:t>cefoperazon</w:t>
      </w:r>
      <w:proofErr w:type="spellEnd"/>
      <w:r w:rsidRPr="00483C38">
        <w:rPr>
          <w:rFonts w:ascii="Candara" w:eastAsia="Tahoma" w:hAnsi="Candara" w:cs="Al Bayan Plain"/>
          <w:position w:val="0"/>
          <w:lang w:eastAsia="en-US"/>
        </w:rPr>
        <w:t xml:space="preserve">, </w:t>
      </w:r>
      <w:proofErr w:type="spellStart"/>
      <w:r w:rsidRPr="00483C38">
        <w:rPr>
          <w:rFonts w:ascii="Candara" w:eastAsia="Tahoma" w:hAnsi="Candara" w:cs="Al Bayan Plain"/>
          <w:position w:val="0"/>
          <w:lang w:eastAsia="en-US"/>
        </w:rPr>
        <w:t>claneksi</w:t>
      </w:r>
      <w:proofErr w:type="spellEnd"/>
      <w:r w:rsidRPr="00483C38">
        <w:rPr>
          <w:rFonts w:ascii="Candara" w:eastAsia="Tahoma" w:hAnsi="Candara" w:cs="Al Bayan Plain"/>
          <w:position w:val="0"/>
          <w:lang w:eastAsia="en-US"/>
        </w:rPr>
        <w:t xml:space="preserve"> (amoxicillin + clavulanate), </w:t>
      </w:r>
      <w:proofErr w:type="spellStart"/>
      <w:r w:rsidRPr="00483C38">
        <w:rPr>
          <w:rFonts w:ascii="Candara" w:eastAsia="Tahoma" w:hAnsi="Candara" w:cs="Al Bayan Plain"/>
          <w:position w:val="0"/>
          <w:lang w:eastAsia="en-US"/>
        </w:rPr>
        <w:t>cefoperazon</w:t>
      </w:r>
      <w:proofErr w:type="spellEnd"/>
      <w:r w:rsidRPr="00483C38">
        <w:rPr>
          <w:rFonts w:ascii="Candara" w:eastAsia="Tahoma" w:hAnsi="Candara" w:cs="Al Bayan Plain"/>
          <w:position w:val="0"/>
          <w:lang w:eastAsia="en-US"/>
        </w:rPr>
        <w:t xml:space="preserve"> + sulbactam, </w:t>
      </w:r>
      <w:proofErr w:type="spellStart"/>
      <w:r w:rsidRPr="00483C38">
        <w:rPr>
          <w:rFonts w:ascii="Candara" w:eastAsia="Tahoma" w:hAnsi="Candara" w:cs="Al Bayan Plain"/>
          <w:position w:val="0"/>
          <w:lang w:eastAsia="en-US"/>
        </w:rPr>
        <w:t>phosphomycin</w:t>
      </w:r>
      <w:proofErr w:type="spellEnd"/>
      <w:r w:rsidRPr="00483C38">
        <w:rPr>
          <w:rFonts w:ascii="Candara" w:eastAsia="Tahoma" w:hAnsi="Candara" w:cs="Al Bayan Plain"/>
          <w:position w:val="0"/>
          <w:lang w:eastAsia="en-US"/>
        </w:rPr>
        <w:t xml:space="preserve">, </w:t>
      </w:r>
      <w:proofErr w:type="spellStart"/>
      <w:r w:rsidRPr="00483C38">
        <w:rPr>
          <w:rFonts w:ascii="Candara" w:eastAsia="Tahoma" w:hAnsi="Candara" w:cs="Al Bayan Plain"/>
          <w:position w:val="0"/>
          <w:lang w:eastAsia="en-US"/>
        </w:rPr>
        <w:t>cefepim</w:t>
      </w:r>
      <w:proofErr w:type="spellEnd"/>
      <w:r w:rsidRPr="00483C38">
        <w:rPr>
          <w:rFonts w:ascii="Candara" w:eastAsia="Tahoma" w:hAnsi="Candara" w:cs="Al Bayan Plain"/>
          <w:position w:val="0"/>
          <w:lang w:eastAsia="en-US"/>
        </w:rPr>
        <w:t>, cefotaxime, and ampicillin sulbactam.</w:t>
      </w:r>
    </w:p>
    <w:p w14:paraId="4225FF28" w14:textId="78CE0C59" w:rsidR="005233A0" w:rsidRPr="00483C38" w:rsidRDefault="005233A0" w:rsidP="00B52B72">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According to WHO, antibiotics are the most widely used drug class in the world related to the number of infectious events caused by bacteria, so their use must be appropriate and rational. The purpose of this study was to determine the quantitative use of antibiotics with the ATC / DDD and DU methods 90% in urinary tract infection patients at RSU X in </w:t>
      </w:r>
      <w:proofErr w:type="spellStart"/>
      <w:r w:rsidRPr="00483C38">
        <w:rPr>
          <w:rFonts w:ascii="Candara" w:eastAsia="Tahoma" w:hAnsi="Candara" w:cs="Al Bayan Plain"/>
          <w:position w:val="0"/>
          <w:lang w:eastAsia="en-US"/>
        </w:rPr>
        <w:t>JakaTimur</w:t>
      </w:r>
      <w:proofErr w:type="spellEnd"/>
      <w:r w:rsidRPr="00483C38">
        <w:rPr>
          <w:rFonts w:ascii="Candara" w:eastAsia="Tahoma" w:hAnsi="Candara" w:cs="Al Bayan Plain"/>
          <w:position w:val="0"/>
          <w:lang w:eastAsia="en-US"/>
        </w:rPr>
        <w:t xml:space="preserve"> in 2019</w:t>
      </w:r>
      <w:r w:rsidR="00E0244F" w:rsidRPr="00483C38">
        <w:rPr>
          <w:rFonts w:ascii="Candara" w:eastAsia="Tahoma" w:hAnsi="Candara" w:cs="Al Bayan Plain"/>
          <w:position w:val="0"/>
          <w:lang w:eastAsia="en-US"/>
        </w:rPr>
        <w:t xml:space="preserve"> </w:t>
      </w:r>
      <w:r w:rsidR="00E0244F" w:rsidRPr="00483C38">
        <w:rPr>
          <w:rFonts w:ascii="Candara" w:eastAsia="Tahoma" w:hAnsi="Candara" w:cs="Al Bayan Plain"/>
          <w:position w:val="0"/>
          <w:lang w:eastAsia="en-US"/>
        </w:rPr>
        <w:fldChar w:fldCharType="begin" w:fldLock="1"/>
      </w:r>
      <w:r w:rsidR="00483C38" w:rsidRPr="00483C38">
        <w:rPr>
          <w:rFonts w:ascii="Candara" w:eastAsia="Tahoma" w:hAnsi="Candara" w:cs="Al Bayan Plain"/>
          <w:position w:val="0"/>
          <w:lang w:eastAsia="en-US"/>
        </w:rPr>
        <w:instrText>ADDIN CSL_CITATION {"citationItems":[{"id":"ITEM-1","itemData":{"ISSN":"1573-398X","author":[{"dropping-particle":"","family":"Yulia","given":"Rika","non-dropping-particle":"","parse-names":false,"suffix":""},{"dropping-particle":"","family":"Mariza","given":"Josephine W","non-dropping-particle":"","parse-names":false,"suffix":""},{"dropping-particle":"","family":"Herawati","given":"Fauna","non-dropping-particle":"","parse-names":false,"suffix":""}],"container-title":"Current Respiratory Medicine Reviews","id":"ITEM-1","issue":"1","issued":{"date-parts":[["2020"]]},"page":"21-27","publisher":"Bentham Science Publishers","title":"Bacterial profile and antibiotic use in pneumonia patients at dr. Soetomo general hospital","type":"article-journal","volume":"16"},"uris":["http://www.mendeley.com/documents/?uuid=ad961c62-fd2f-424f-be36-e09dce8e0b99"]}],"mendeley":{"formattedCitation":"(Yulia, Mariza and Herawati, 2020)","plainTextFormattedCitation":"(Yulia, Mariza and Herawati, 2020)","previouslyFormattedCitation":"(Yulia, Mariza and Herawati, 2020)"},"properties":{"noteIndex":0},"schema":"https://github.com/citation-style-language/schema/raw/master/csl-citation.json"}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(Yulia, Mariza and Herawati, 2020)</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 To achieve this goal, it is necessary to conduct a study on the use of antibiotics in UTI patients at RSU X in East Jakarta</w:t>
      </w:r>
      <w:r w:rsidR="00E0244F" w:rsidRPr="00483C38">
        <w:rPr>
          <w:rFonts w:ascii="Candara" w:eastAsia="Tahoma" w:hAnsi="Candara" w:cs="Al Bayan Plain"/>
          <w:position w:val="0"/>
          <w:lang w:eastAsia="en-US"/>
        </w:rPr>
        <w:t xml:space="preserve"> </w:t>
      </w:r>
      <w:r w:rsidR="00E0244F" w:rsidRPr="00483C38">
        <w:rPr>
          <w:rFonts w:ascii="Candara" w:eastAsia="Tahoma" w:hAnsi="Candara" w:cs="Al Bayan Plain"/>
          <w:position w:val="0"/>
          <w:lang w:eastAsia="en-US"/>
        </w:rPr>
        <w:fldChar w:fldCharType="begin" w:fldLock="1"/>
      </w:r>
      <w:r w:rsidR="00E0244F" w:rsidRPr="00483C38">
        <w:rPr>
          <w:rFonts w:ascii="Candara" w:eastAsia="Tahoma" w:hAnsi="Candara" w:cs="Al Bayan Plain"/>
          <w:position w:val="0"/>
          <w:lang w:eastAsia="en-US"/>
        </w:rPr>
        <w:instrText>ADDIN CSL_CITATION {"citationItems":[{"id":"ITEM-1","itemData":{"author":[{"dropping-particle":"","family":"Karuniawati","given":"Anis","non-dropping-particle":"","parse-names":false,"suffix":""},{"dropping-particle":"","family":"Doorn","given":"H Rogier","non-dropping-particle":"van","parse-names":false,"suffix":""},{"dropping-particle":"","family":"Hamers","given":"Raph L","non-dropping-particle":"","parse-names":false,"suffix":""}],"id":"ITEM-1","issued":{"date-parts":[["2022"]]},"title":"Optimizing antibiotic use in Indonesia: A systematic review and evidence synthesis to inform opportunities for intervention","type":"article"},"uris":["http://www.mendeley.com/documents/?uuid=8282f812-dfab-454c-8afe-6bce80d0304b"]}],"mendeley":{"formattedCitation":"(Karuniawati, van Doorn and Hamers, 2022)","plainTextFormattedCitation":"(Karuniawati, van Doorn and Hamers, 2022)","previouslyFormattedCitation":"(Karuniawati, van Doorn and Hamers, 2022)"},"properties":{"noteIndex":0},"schema":"https://github.com/citation-style-language/schema/raw/master/csl-citation.json"}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(Karuniawati, van Doorn and Hamers, 2022)</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 The study used quantitative analysis with the Anatomical Therapeutic Chemical/Defined Daily Dose (ATC/DDD) method</w:t>
      </w:r>
      <w:r w:rsidR="00E0244F" w:rsidRPr="00483C38">
        <w:rPr>
          <w:rFonts w:ascii="Candara" w:eastAsia="Tahoma" w:hAnsi="Candara" w:cs="Al Bayan Plain"/>
          <w:position w:val="0"/>
          <w:lang w:eastAsia="en-US"/>
        </w:rPr>
        <w:t xml:space="preserve"> </w:t>
      </w:r>
      <w:r w:rsidR="00E0244F" w:rsidRPr="00483C38">
        <w:rPr>
          <w:rFonts w:ascii="Candara" w:eastAsia="Tahoma" w:hAnsi="Candara" w:cs="Al Bayan Plain"/>
          <w:position w:val="0"/>
          <w:lang w:eastAsia="en-US"/>
        </w:rPr>
        <w:fldChar w:fldCharType="begin" w:fldLock="1"/>
      </w:r>
      <w:r w:rsidR="00E0244F" w:rsidRPr="00483C38">
        <w:rPr>
          <w:rFonts w:ascii="Candara" w:eastAsia="Tahoma" w:hAnsi="Candara" w:cs="Al Bayan Plain"/>
          <w:position w:val="0"/>
          <w:lang w:eastAsia="en-US"/>
        </w:rPr>
        <w:instrText>ADDIN CSL_CITATION {"citationItems":[{"id":"ITEM-1","itemData":{"ISSN":"2548-2114","author":[{"dropping-particle":"","family":"Apriyanti","given":"Yusna Fadliyyah","non-dropping-particle":"","parse-names":false,"suffix":""}],"container-title":"Medical Sains: Jurnal Ilmiah Kefarmasian","id":"ITEM-1","issue":"3","issued":{"date-parts":[["2023"]]},"page":"1323-1344","title":"APPLICATION OF THE ATC/DDD METHOD FOR ANTIBIOTIC EVALUATION IN INDONESIA","type":"article-journal","volume":"8"},"uris":["http://www.mendeley.com/documents/?uuid=a6cc6001-47cf-454d-a7ad-21f228db2771"]}],"mendeley":{"formattedCitation":"(Apriyanti, 2023)","plainTextFormattedCitation":"(Apriyanti, 2023)","previouslyFormattedCitation":"(Apriyanti, 2023)"},"properties":{"noteIndex":0},"schema":"https://github.com/citation-style-language/schema/raw/master/csl-citation.json"}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(Apriyanti, 2023)</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w:t>
      </w:r>
      <w:r w:rsidR="00E0244F" w:rsidRPr="00483C38">
        <w:rPr>
          <w:rFonts w:ascii="Candara" w:eastAsia="Tahoma" w:hAnsi="Candara" w:cs="Al Bayan Plain"/>
          <w:position w:val="0"/>
          <w:lang w:eastAsia="en-US"/>
        </w:rPr>
        <w:t xml:space="preserve"> </w:t>
      </w:r>
      <w:r w:rsidRPr="00483C38">
        <w:rPr>
          <w:rFonts w:ascii="Candara" w:eastAsia="Tahoma" w:hAnsi="Candara" w:cs="Al Bayan Plain"/>
          <w:position w:val="0"/>
          <w:lang w:eastAsia="en-US"/>
        </w:rPr>
        <w:t xml:space="preserve">This method is a classification and measurement system for drug use recommended by WHO to determine the accuracy of the average dose per day of antibiotic use in adult patients and DU 90% </w:t>
      </w:r>
      <w:r w:rsidR="00E0244F" w:rsidRPr="00483C38">
        <w:rPr>
          <w:rFonts w:ascii="Candara" w:eastAsia="Tahoma" w:hAnsi="Candara" w:cs="Al Bayan Plain"/>
          <w:position w:val="0"/>
          <w:lang w:eastAsia="en-US"/>
        </w:rPr>
        <w:fldChar w:fldCharType="begin" w:fldLock="1"/>
      </w:r>
      <w:r w:rsidR="00E0244F" w:rsidRPr="00483C38">
        <w:rPr>
          <w:rFonts w:ascii="Candara" w:eastAsia="Tahoma" w:hAnsi="Candara" w:cs="Al Bayan Plain"/>
          <w:position w:val="0"/>
          <w:lang w:eastAsia="en-US"/>
        </w:rPr>
        <w:instrText>ADDIN CSL_CITATION {"citationItems":[{"id":"ITEM-1","itemData":{"author":[{"dropping-particle":"","family":"Morris","given":"Andrew M","non-dropping-particle":"","parse-names":false,"suffix":""}],"container-title":"Current treatment options in infectious diseases","id":"ITEM-1","issued":{"date-parts":[["2014"]]},"page":"101-112","publisher":"Springer","title":"Antimicrobial stewardship programs: appropriate measures and metrics to study their impact","type":"article-journal","volume":"6"},"uris":["http://www.mendeley.com/documents/?uuid=9f26f166-7713-40f4-9030-6c37adc7b36c"]}],"mendeley":{"formattedCitation":"(Morris, 2014)","plainTextFormattedCitation":"(Morris, 2014)","previouslyFormattedCitation":"(Morris, 2014)"},"properties":{"noteIndex":0},"schema":"https://github.com/citation-style-language/schema/raw/master/csl-citation.json"}</w:instrText>
      </w:r>
      <w:r w:rsidR="00E0244F" w:rsidRPr="00483C38">
        <w:rPr>
          <w:rFonts w:ascii="Candara" w:eastAsia="Tahoma" w:hAnsi="Candara" w:cs="Al Bayan Plain"/>
          <w:position w:val="0"/>
          <w:lang w:eastAsia="en-US"/>
        </w:rPr>
        <w:fldChar w:fldCharType="separate"/>
      </w:r>
      <w:r w:rsidR="00E0244F" w:rsidRPr="00483C38">
        <w:rPr>
          <w:rFonts w:ascii="Candara" w:eastAsia="Tahoma" w:hAnsi="Candara" w:cs="Al Bayan Plain"/>
          <w:noProof/>
          <w:position w:val="0"/>
          <w:lang w:eastAsia="en-US"/>
        </w:rPr>
        <w:t>(Morris, 2014)</w:t>
      </w:r>
      <w:r w:rsidR="00E0244F"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w:t>
      </w:r>
    </w:p>
    <w:p w14:paraId="23CB4F5D" w14:textId="33B0F8FA" w:rsidR="00483C38" w:rsidRPr="00483C38" w:rsidRDefault="005233A0" w:rsidP="00E0244F">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The results of research conducted at one of the hospitals in Yogyakarta area in 2004, 2006, and 2008 on the comparison of the use of antibiotics in urinary tract infections with the ATC / DDD method,</w:t>
      </w:r>
      <w:r w:rsidR="00E0244F" w:rsidRPr="00483C38">
        <w:rPr>
          <w:rFonts w:ascii="Candara" w:eastAsia="Tahoma" w:hAnsi="Candara" w:cs="Al Bayan Plain"/>
          <w:position w:val="0"/>
          <w:lang w:eastAsia="en-US"/>
        </w:rPr>
        <w:t xml:space="preserve"> </w:t>
      </w:r>
      <w:r w:rsidRPr="00483C38">
        <w:rPr>
          <w:rFonts w:ascii="Candara" w:eastAsia="Tahoma" w:hAnsi="Candara" w:cs="Al Bayan Plain"/>
          <w:position w:val="0"/>
          <w:lang w:eastAsia="en-US"/>
        </w:rPr>
        <w:t>showed a total DDD value in 2004 of 105</w:t>
      </w:r>
      <w:r w:rsidR="00483C38" w:rsidRPr="00483C38">
        <w:rPr>
          <w:rFonts w:ascii="Candara" w:eastAsia="Tahoma" w:hAnsi="Candara" w:cs="Al Bayan Plain"/>
          <w:position w:val="0"/>
          <w:lang w:eastAsia="en-US"/>
        </w:rPr>
        <w:t xml:space="preserve"> </w:t>
      </w:r>
      <w:r w:rsidR="00483C38" w:rsidRPr="00483C38">
        <w:rPr>
          <w:rFonts w:ascii="Candara" w:eastAsia="Tahoma" w:hAnsi="Candara" w:cs="Al Bayan Plain"/>
          <w:position w:val="0"/>
          <w:lang w:eastAsia="en-US"/>
        </w:rPr>
        <w:fldChar w:fldCharType="begin" w:fldLock="1"/>
      </w:r>
      <w:r w:rsidR="00483C38">
        <w:rPr>
          <w:rFonts w:ascii="Candara" w:eastAsia="Tahoma" w:hAnsi="Candara" w:cs="Al Bayan Plain"/>
          <w:position w:val="0"/>
          <w:lang w:eastAsia="en-US"/>
        </w:rPr>
        <w:instrText>ADDIN CSL_CITATION {"citationItems":[{"id":"ITEM-1","itemData":{"author":[{"dropping-particle":"","family":"Karuniawati","given":"Anis","non-dropping-particle":"","parse-names":false,"suffix":""},{"dropping-particle":"","family":"Doorn","given":"H Rogier","non-dropping-particle":"van","parse-names":false,"suffix":""},{"dropping-particle":"","family":"Hamers","given":"Raph L","non-dropping-particle":"","parse-names":false,"suffix":""}],"id":"ITEM-1","issued":{"date-parts":[["2022"]]},"title":"Optimizing antibiotic use in Indonesia: A systematic review and evidence synthesis to inform opportunities for intervention","type":"article"},"uris":["http://www.mendeley.com/documents/?uuid=8282f812-dfab-454c-8afe-6bce80d0304b"]}],"mendeley":{"formattedCitation":"(Karuniawati, van Doorn and Hamers, 2022)","plainTextFormattedCitation":"(Karuniawati, van Doorn and Hamers, 2022)","previouslyFormattedCitation":"(Karuniawati, van Doorn and Hamers, 2022)"},"properties":{"noteIndex":0},"schema":"https://github.com/citation-style-language/schema/raw/master/csl-citation.json"}</w:instrText>
      </w:r>
      <w:r w:rsidR="00483C38" w:rsidRPr="00483C38">
        <w:rPr>
          <w:rFonts w:ascii="Candara" w:eastAsia="Tahoma" w:hAnsi="Candara" w:cs="Al Bayan Plain"/>
          <w:position w:val="0"/>
          <w:lang w:eastAsia="en-US"/>
        </w:rPr>
        <w:fldChar w:fldCharType="separate"/>
      </w:r>
      <w:r w:rsidR="00483C38" w:rsidRPr="00483C38">
        <w:rPr>
          <w:rFonts w:ascii="Candara" w:eastAsia="Tahoma" w:hAnsi="Candara" w:cs="Al Bayan Plain"/>
          <w:noProof/>
          <w:position w:val="0"/>
          <w:lang w:eastAsia="en-US"/>
        </w:rPr>
        <w:t>(Karuniawati, van Doorn and Hamers, 2022)</w:t>
      </w:r>
      <w:r w:rsidR="00483C38" w:rsidRPr="00483C38">
        <w:rPr>
          <w:rFonts w:ascii="Candara" w:eastAsia="Tahoma" w:hAnsi="Candara" w:cs="Al Bayan Plain"/>
          <w:position w:val="0"/>
          <w:lang w:eastAsia="en-US"/>
        </w:rPr>
        <w:fldChar w:fldCharType="end"/>
      </w:r>
      <w:r w:rsidRPr="00483C38">
        <w:rPr>
          <w:rFonts w:ascii="Candara" w:eastAsia="Tahoma" w:hAnsi="Candara" w:cs="Al Bayan Plain"/>
          <w:position w:val="0"/>
          <w:lang w:eastAsia="en-US"/>
        </w:rPr>
        <w:t>.</w:t>
      </w:r>
    </w:p>
    <w:p w14:paraId="78A91960" w14:textId="63B4A282" w:rsidR="005233A0" w:rsidRPr="00483C38" w:rsidRDefault="005233A0" w:rsidP="00E0244F">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DDD/100 patient-days, with a DU of 90% namely amoxicillin (41.81%) and ciprofloxacin (47.5%). In 2006 showed a total DDD value of 107.3 DDD/100 patient-days with a DU of 90%, namely amoxicillin (40.34%), ciprofloxacin (44.89%), and ceftriaxone (9.37%)11. </w:t>
      </w:r>
    </w:p>
    <w:p w14:paraId="0721436A" w14:textId="0A3F614D" w:rsidR="00715CAD" w:rsidRPr="00483C38" w:rsidRDefault="005233A0" w:rsidP="00715CAD">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Research conducted at General Hospitals in India in 2011 with the same method showed a total DDD value of 2.82 DDD/1000 inhabitants-day, with 90% DU namely norfloxacin (24.46%), cefixime (22.34%), amoxicillin (17.02%), metronidazole (15.95%), and ciprofloxacin (14.18%)12</w:t>
      </w:r>
      <w:r w:rsidR="00715CAD" w:rsidRPr="00483C38">
        <w:rPr>
          <w:rFonts w:ascii="Candara" w:eastAsia="Tahoma" w:hAnsi="Candara" w:cs="Al Bayan Plain"/>
          <w:position w:val="0"/>
          <w:lang w:eastAsia="en-US"/>
        </w:rPr>
        <w:t>.</w:t>
      </w:r>
    </w:p>
    <w:p w14:paraId="080C59F1" w14:textId="77777777" w:rsidR="005233A0" w:rsidRPr="00483C38" w:rsidRDefault="005233A0" w:rsidP="003D5CFF">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The results of a similar study with the ATC / DDD method in hospitals in </w:t>
      </w:r>
      <w:proofErr w:type="spellStart"/>
      <w:r w:rsidRPr="00483C38">
        <w:rPr>
          <w:rFonts w:ascii="Candara" w:eastAsia="Tahoma" w:hAnsi="Candara" w:cs="Al Bayan Plain"/>
          <w:position w:val="0"/>
          <w:lang w:eastAsia="en-US"/>
        </w:rPr>
        <w:t>Jepara</w:t>
      </w:r>
      <w:proofErr w:type="spellEnd"/>
      <w:r w:rsidRPr="00483C38">
        <w:rPr>
          <w:rFonts w:ascii="Candara" w:eastAsia="Tahoma" w:hAnsi="Candara" w:cs="Al Bayan Plain"/>
          <w:position w:val="0"/>
          <w:lang w:eastAsia="en-US"/>
        </w:rPr>
        <w:t xml:space="preserve"> in 2012 showed a total DDD value of 100.61 DDD / 100 patient-days, with 90% DU namely ciprofloxacin (31.74%), amoxicillin (25.72%), ceftriaxone (13.73%), cefotaxime (12.93%), metronidazole (4.48%), and cefixime (2.92%)13. </w:t>
      </w:r>
    </w:p>
    <w:p w14:paraId="5CE336F5" w14:textId="77777777" w:rsidR="005233A0" w:rsidRPr="00483C38" w:rsidRDefault="005233A0" w:rsidP="003D5CFF">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The results of another study with a similar method at Khrisna hospital in Karad in 2015 showed a total DDD value of 39.60 DDD / 1000 inhabitants-day, with antibiotics that DU 90% namely ceftriaxone (32.60%), azithromycin (14.34%), ciprofloxacin (10.81%), nitrofurantoin (5.85%), amoxicillin (5.29%), cefixime (4.25%), amikacin (3.76%), levofloxacin (2.98%), amoxicillin + clavulanate (2.81%), </w:t>
      </w:r>
      <w:proofErr w:type="spellStart"/>
      <w:r w:rsidRPr="00483C38">
        <w:rPr>
          <w:rFonts w:ascii="Candara" w:eastAsia="Tahoma" w:hAnsi="Candara" w:cs="Al Bayan Plain"/>
          <w:position w:val="0"/>
          <w:lang w:eastAsia="en-US"/>
        </w:rPr>
        <w:t>cefepim</w:t>
      </w:r>
      <w:proofErr w:type="spellEnd"/>
      <w:r w:rsidRPr="00483C38">
        <w:rPr>
          <w:rFonts w:ascii="Candara" w:eastAsia="Tahoma" w:hAnsi="Candara" w:cs="Al Bayan Plain"/>
          <w:position w:val="0"/>
          <w:lang w:eastAsia="en-US"/>
        </w:rPr>
        <w:t xml:space="preserve"> (2.43%), </w:t>
      </w:r>
      <w:proofErr w:type="spellStart"/>
      <w:r w:rsidRPr="00483C38">
        <w:rPr>
          <w:rFonts w:ascii="Candara" w:eastAsia="Tahoma" w:hAnsi="Candara" w:cs="Al Bayan Plain"/>
          <w:position w:val="0"/>
          <w:lang w:eastAsia="en-US"/>
        </w:rPr>
        <w:t>cefodocsim</w:t>
      </w:r>
      <w:proofErr w:type="spellEnd"/>
      <w:r w:rsidRPr="00483C38">
        <w:rPr>
          <w:rFonts w:ascii="Candara" w:eastAsia="Tahoma" w:hAnsi="Candara" w:cs="Al Bayan Plain"/>
          <w:position w:val="0"/>
          <w:lang w:eastAsia="en-US"/>
        </w:rPr>
        <w:t xml:space="preserve"> (2.21%) and norfloxacin (1.87%)14.</w:t>
      </w:r>
    </w:p>
    <w:p w14:paraId="641CC6AB" w14:textId="13C04EFD" w:rsidR="00715CAD" w:rsidRPr="00483C38" w:rsidRDefault="005233A0" w:rsidP="00715CAD">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Another study in tertiary hospitals in South India in 2015 showed DDD values of 47.38 DDD/1000 inhabitants-day, with antibiotics that were 90% DU namely </w:t>
      </w:r>
      <w:proofErr w:type="spellStart"/>
      <w:r w:rsidRPr="00483C38">
        <w:rPr>
          <w:rFonts w:ascii="Candara" w:eastAsia="Tahoma" w:hAnsi="Candara" w:cs="Al Bayan Plain"/>
          <w:position w:val="0"/>
          <w:lang w:eastAsia="en-US"/>
        </w:rPr>
        <w:lastRenderedPageBreak/>
        <w:t>cefoperazon</w:t>
      </w:r>
      <w:proofErr w:type="spellEnd"/>
      <w:r w:rsidRPr="00483C38">
        <w:rPr>
          <w:rFonts w:ascii="Candara" w:eastAsia="Tahoma" w:hAnsi="Candara" w:cs="Al Bayan Plain"/>
          <w:position w:val="0"/>
          <w:lang w:eastAsia="en-US"/>
        </w:rPr>
        <w:t xml:space="preserve"> + sulbactam (37.53%), nitrofurantoin (15.32%), ofloxacin (10.09%), ciprofloxacin (8.08%), amikacin (5.42%), norfloxacin (4.69%), doxycycline (4.60%), and levofloxacin (3.65%)15.</w:t>
      </w:r>
      <w:r w:rsidR="00715CAD" w:rsidRPr="00483C38">
        <w:rPr>
          <w:rFonts w:ascii="Candara" w:eastAsia="Tahoma" w:hAnsi="Candara" w:cs="Al Bayan Plain"/>
          <w:position w:val="0"/>
          <w:lang w:eastAsia="en-US"/>
        </w:rPr>
        <w:t xml:space="preserve"> </w:t>
      </w:r>
    </w:p>
    <w:p w14:paraId="1EEF044A" w14:textId="77777777" w:rsidR="005233A0" w:rsidRPr="00483C38" w:rsidRDefault="005233A0" w:rsidP="00303132">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The results of other studies at </w:t>
      </w:r>
      <w:proofErr w:type="spellStart"/>
      <w:r w:rsidRPr="00483C38">
        <w:rPr>
          <w:rFonts w:ascii="Candara" w:eastAsia="Tahoma" w:hAnsi="Candara" w:cs="Al Bayan Plain"/>
          <w:position w:val="0"/>
          <w:lang w:eastAsia="en-US"/>
        </w:rPr>
        <w:t>Azeezia</w:t>
      </w:r>
      <w:proofErr w:type="spellEnd"/>
      <w:r w:rsidRPr="00483C38">
        <w:rPr>
          <w:rFonts w:ascii="Candara" w:eastAsia="Tahoma" w:hAnsi="Candara" w:cs="Al Bayan Plain"/>
          <w:position w:val="0"/>
          <w:lang w:eastAsia="en-US"/>
        </w:rPr>
        <w:t xml:space="preserve">, Kollam, and Kerala hospitals in India in 2018 showed a total DDD value of 21.79 DDD/1000 inhabitants-day, with antibiotics that were 90% DU namely ceftriaxone (35.52%), ciprofloxacin (20, 47%), cefotaxime (16.98%), ofloxacin (6.56%) norfloxacin (6.06%), and amikacin (5.14%)16. </w:t>
      </w:r>
    </w:p>
    <w:p w14:paraId="52845908" w14:textId="77777777" w:rsidR="005233A0" w:rsidRPr="00483C38" w:rsidRDefault="005233A0" w:rsidP="00303132">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 xml:space="preserve">Another study at Dr. </w:t>
      </w:r>
      <w:proofErr w:type="spellStart"/>
      <w:r w:rsidRPr="00483C38">
        <w:rPr>
          <w:rFonts w:ascii="Candara" w:eastAsia="Tahoma" w:hAnsi="Candara" w:cs="Al Bayan Plain"/>
          <w:position w:val="0"/>
          <w:lang w:eastAsia="en-US"/>
        </w:rPr>
        <w:t>Moewardi</w:t>
      </w:r>
      <w:proofErr w:type="spellEnd"/>
      <w:r w:rsidRPr="00483C38">
        <w:rPr>
          <w:rFonts w:ascii="Candara" w:eastAsia="Tahoma" w:hAnsi="Candara" w:cs="Al Bayan Plain"/>
          <w:position w:val="0"/>
          <w:lang w:eastAsia="en-US"/>
        </w:rPr>
        <w:t xml:space="preserve"> Hospital in 2018 showed a total DDD value of 11.45 DDD / 100 patient-days, with antibiotics that DU 90%, namely ceftriaxone (63.97%), levofloxacin (24.42%), ciprofloxacin (4.34%), meropenem (3.49%), </w:t>
      </w:r>
      <w:proofErr w:type="spellStart"/>
      <w:r w:rsidRPr="00483C38">
        <w:rPr>
          <w:rFonts w:ascii="Candara" w:eastAsia="Tahoma" w:hAnsi="Candara" w:cs="Al Bayan Plain"/>
          <w:position w:val="0"/>
          <w:lang w:eastAsia="en-US"/>
        </w:rPr>
        <w:t>cefoperazon</w:t>
      </w:r>
      <w:proofErr w:type="spellEnd"/>
      <w:r w:rsidRPr="00483C38">
        <w:rPr>
          <w:rFonts w:ascii="Candara" w:eastAsia="Tahoma" w:hAnsi="Candara" w:cs="Al Bayan Plain"/>
          <w:position w:val="0"/>
          <w:lang w:eastAsia="en-US"/>
        </w:rPr>
        <w:t xml:space="preserve"> + sulbactam (2.76%), </w:t>
      </w:r>
      <w:proofErr w:type="spellStart"/>
      <w:r w:rsidRPr="00483C38">
        <w:rPr>
          <w:rFonts w:ascii="Candara" w:eastAsia="Tahoma" w:hAnsi="Candara" w:cs="Al Bayan Plain"/>
          <w:position w:val="0"/>
          <w:lang w:eastAsia="en-US"/>
        </w:rPr>
        <w:t>cephalozolin</w:t>
      </w:r>
      <w:proofErr w:type="spellEnd"/>
      <w:r w:rsidRPr="00483C38">
        <w:rPr>
          <w:rFonts w:ascii="Candara" w:eastAsia="Tahoma" w:hAnsi="Candara" w:cs="Al Bayan Plain"/>
          <w:position w:val="0"/>
          <w:lang w:eastAsia="en-US"/>
        </w:rPr>
        <w:t xml:space="preserve"> (0.58%), and </w:t>
      </w:r>
      <w:proofErr w:type="spellStart"/>
      <w:r w:rsidRPr="00483C38">
        <w:rPr>
          <w:rFonts w:ascii="Candara" w:eastAsia="Tahoma" w:hAnsi="Candara" w:cs="Al Bayan Plain"/>
          <w:position w:val="0"/>
          <w:lang w:eastAsia="en-US"/>
        </w:rPr>
        <w:t>ceftazidim</w:t>
      </w:r>
      <w:proofErr w:type="spellEnd"/>
      <w:r w:rsidRPr="00483C38">
        <w:rPr>
          <w:rFonts w:ascii="Candara" w:eastAsia="Tahoma" w:hAnsi="Candara" w:cs="Al Bayan Plain"/>
          <w:position w:val="0"/>
          <w:lang w:eastAsia="en-US"/>
        </w:rPr>
        <w:t xml:space="preserve"> (0.44%)17.</w:t>
      </w:r>
    </w:p>
    <w:p w14:paraId="3B8E01AC" w14:textId="3A58730E" w:rsidR="00715CAD" w:rsidRPr="00483C38" w:rsidRDefault="005233A0" w:rsidP="00715CAD">
      <w:pPr>
        <w:spacing w:line="240" w:lineRule="auto"/>
        <w:ind w:left="-2" w:firstLineChars="225" w:firstLine="540"/>
        <w:jc w:val="both"/>
        <w:rPr>
          <w:rFonts w:ascii="Candara" w:eastAsia="Tahoma" w:hAnsi="Candara" w:cs="Al Bayan Plain"/>
          <w:position w:val="0"/>
          <w:lang w:eastAsia="en-US"/>
        </w:rPr>
      </w:pPr>
      <w:r w:rsidRPr="00483C38">
        <w:rPr>
          <w:rFonts w:ascii="Candara" w:eastAsia="Tahoma" w:hAnsi="Candara" w:cs="Al Bayan Plain"/>
          <w:position w:val="0"/>
          <w:lang w:eastAsia="en-US"/>
        </w:rPr>
        <w:t>Based on the background description above, it shows that urinary tract infection is an infectious disease caused by bacteria, dangerous and can cause morbidity and even mortality, therefore it is necessary to study the use of antibiotics in patients suffering from urinary tract infections. The study was conducted using the ATC / DDD and DU 90% methods, the aim was to determine the number and type of antibiotics used by urinary tract infection patients hospitalized at RSU X in East Jakarta in 2019</w:t>
      </w:r>
      <w:r w:rsidR="00715CAD" w:rsidRPr="00483C38">
        <w:rPr>
          <w:rFonts w:ascii="Candara" w:eastAsia="Tahoma" w:hAnsi="Candara" w:cs="Al Bayan Plain"/>
          <w:position w:val="0"/>
          <w:lang w:eastAsia="en-US"/>
        </w:rPr>
        <w:t xml:space="preserve">. </w:t>
      </w:r>
    </w:p>
    <w:p w14:paraId="61A02645" w14:textId="77777777" w:rsidR="005C4A43" w:rsidRPr="00483C38" w:rsidRDefault="005C4A43" w:rsidP="009D1093">
      <w:pPr>
        <w:spacing w:line="240" w:lineRule="auto"/>
        <w:ind w:left="0" w:hanging="2"/>
        <w:jc w:val="both"/>
        <w:rPr>
          <w:rFonts w:ascii="Candara" w:eastAsia="Tahoma" w:hAnsi="Candara" w:cs="Al Bayan Plain"/>
          <w:b/>
        </w:rPr>
      </w:pPr>
    </w:p>
    <w:p w14:paraId="797A1CC4" w14:textId="31AD54EF" w:rsidR="00897F8C" w:rsidRPr="00483C38" w:rsidRDefault="00E35D87" w:rsidP="009D1093">
      <w:pPr>
        <w:spacing w:line="240" w:lineRule="auto"/>
        <w:ind w:left="0" w:hanging="2"/>
        <w:jc w:val="both"/>
        <w:rPr>
          <w:rFonts w:ascii="Candara" w:eastAsia="Tahoma" w:hAnsi="Candara" w:cs="Al Bayan Plain"/>
          <w:b/>
        </w:rPr>
      </w:pPr>
      <w:r w:rsidRPr="00483C38">
        <w:rPr>
          <w:rFonts w:ascii="Candara" w:eastAsia="Tahoma" w:hAnsi="Candara" w:cs="Al Bayan Plain"/>
          <w:b/>
        </w:rPr>
        <w:t>RESEARCH METHODS</w:t>
      </w:r>
    </w:p>
    <w:p w14:paraId="0BA66CEB" w14:textId="77777777" w:rsidR="005233A0" w:rsidRPr="00483C38" w:rsidRDefault="005233A0" w:rsidP="00733491">
      <w:pPr>
        <w:spacing w:line="240" w:lineRule="auto"/>
        <w:ind w:leftChars="0" w:left="0" w:firstLineChars="0" w:firstLine="0"/>
        <w:jc w:val="both"/>
        <w:rPr>
          <w:rFonts w:ascii="Candara" w:hAnsi="Candara" w:cs="Al Bayan Plain"/>
          <w:b/>
          <w:bCs/>
          <w:color w:val="000000"/>
          <w:position w:val="0"/>
          <w:lang w:eastAsia="en-US"/>
        </w:rPr>
      </w:pPr>
      <w:r w:rsidRPr="00483C38">
        <w:rPr>
          <w:rFonts w:ascii="Candara" w:hAnsi="Candara" w:cs="Al Bayan Plain"/>
          <w:b/>
          <w:bCs/>
          <w:color w:val="000000"/>
          <w:position w:val="0"/>
          <w:lang w:eastAsia="en-US"/>
        </w:rPr>
        <w:t>Research Design</w:t>
      </w:r>
    </w:p>
    <w:p w14:paraId="0AAD2AF9" w14:textId="77777777" w:rsidR="005233A0" w:rsidRPr="00483C38" w:rsidRDefault="005233A0" w:rsidP="00733491">
      <w:pPr>
        <w:spacing w:line="240" w:lineRule="auto"/>
        <w:ind w:leftChars="0" w:firstLineChars="0" w:firstLine="541"/>
        <w:jc w:val="both"/>
        <w:rPr>
          <w:rFonts w:ascii="Candara" w:hAnsi="Candara" w:cs="Al Bayan Plain"/>
          <w:color w:val="000000"/>
          <w:position w:val="0"/>
          <w:lang w:eastAsia="en-US"/>
        </w:rPr>
      </w:pPr>
      <w:r w:rsidRPr="00483C38">
        <w:rPr>
          <w:rFonts w:ascii="Candara" w:hAnsi="Candara" w:cs="Al Bayan Plain"/>
          <w:color w:val="000000"/>
          <w:position w:val="0"/>
          <w:lang w:eastAsia="en-US"/>
        </w:rPr>
        <w:t>This study used a cross-sectional research design with retrospective data collection, namely by tracing medical record documents of urinary tract infection patients hospitalized at RSU X in East Jakarta in January-December 2019.</w:t>
      </w:r>
    </w:p>
    <w:p w14:paraId="30563D64" w14:textId="77777777" w:rsidR="005233A0" w:rsidRPr="00483C38" w:rsidRDefault="005233A0" w:rsidP="00733491">
      <w:pPr>
        <w:spacing w:line="240" w:lineRule="auto"/>
        <w:ind w:leftChars="0" w:left="0" w:firstLineChars="0" w:firstLine="0"/>
        <w:jc w:val="both"/>
        <w:rPr>
          <w:rFonts w:ascii="Candara" w:hAnsi="Candara" w:cs="Al Bayan Plain"/>
          <w:b/>
          <w:bCs/>
          <w:color w:val="000000"/>
          <w:position w:val="0"/>
          <w:lang w:eastAsia="en-US"/>
        </w:rPr>
      </w:pPr>
      <w:r w:rsidRPr="00483C38">
        <w:rPr>
          <w:rFonts w:ascii="Candara" w:hAnsi="Candara" w:cs="Al Bayan Plain"/>
          <w:b/>
          <w:bCs/>
          <w:color w:val="000000"/>
          <w:position w:val="0"/>
          <w:lang w:eastAsia="en-US"/>
        </w:rPr>
        <w:t>Research Population</w:t>
      </w:r>
    </w:p>
    <w:p w14:paraId="504048C4" w14:textId="777E023C" w:rsidR="00715CAD" w:rsidRPr="00483C38" w:rsidRDefault="005233A0" w:rsidP="00715CAD">
      <w:pPr>
        <w:spacing w:line="240" w:lineRule="auto"/>
        <w:ind w:leftChars="0" w:firstLineChars="0" w:firstLine="541"/>
        <w:jc w:val="both"/>
        <w:rPr>
          <w:rFonts w:ascii="Candara" w:hAnsi="Candara" w:cs="Al Bayan Plain"/>
          <w:color w:val="000000"/>
          <w:position w:val="0"/>
          <w:lang w:eastAsia="en-US"/>
        </w:rPr>
      </w:pPr>
      <w:r w:rsidRPr="00483C38">
        <w:rPr>
          <w:rFonts w:ascii="Candara" w:hAnsi="Candara" w:cs="Al Bayan Plain"/>
          <w:color w:val="000000"/>
          <w:position w:val="0"/>
          <w:lang w:eastAsia="en-US"/>
        </w:rPr>
        <w:t>The population in this study was all adult patients from the age of 18 years suffering from urinary tract infections who were hospitalized at RSU X from January - December 2019. The sample size in this study was 115 UTI patients who met the inclusion and exclusion criteria, data collected in addition to patient characteristics. The use of drugs, as well as laboratory data as support (urinalysis tests: leukocytes, leukocytes esterase, and bacteria), patients with medical records and patient status contain complete information.</w:t>
      </w:r>
    </w:p>
    <w:p w14:paraId="6AD3F466" w14:textId="77777777" w:rsidR="005233A0" w:rsidRPr="00483C38" w:rsidRDefault="005233A0" w:rsidP="00F965FF">
      <w:pPr>
        <w:spacing w:line="240" w:lineRule="auto"/>
        <w:ind w:leftChars="0" w:left="0" w:firstLineChars="0" w:firstLine="0"/>
        <w:jc w:val="both"/>
        <w:rPr>
          <w:rFonts w:ascii="Candara" w:hAnsi="Candara" w:cs="Al Bayan Plain"/>
          <w:b/>
          <w:bCs/>
          <w:color w:val="000000"/>
          <w:position w:val="0"/>
          <w:lang w:eastAsia="en-US"/>
        </w:rPr>
      </w:pPr>
      <w:r w:rsidRPr="00483C38">
        <w:rPr>
          <w:rFonts w:ascii="Candara" w:hAnsi="Candara" w:cs="Al Bayan Plain"/>
          <w:b/>
          <w:bCs/>
          <w:color w:val="000000"/>
          <w:position w:val="0"/>
          <w:lang w:eastAsia="en-US"/>
        </w:rPr>
        <w:t>Data Analysis</w:t>
      </w:r>
    </w:p>
    <w:p w14:paraId="6053D833" w14:textId="77777777" w:rsidR="005233A0" w:rsidRPr="00483C38" w:rsidRDefault="005233A0" w:rsidP="00F965FF">
      <w:pPr>
        <w:spacing w:line="240" w:lineRule="auto"/>
        <w:ind w:leftChars="0" w:left="0" w:firstLineChars="0" w:firstLine="0"/>
        <w:jc w:val="both"/>
        <w:rPr>
          <w:rFonts w:ascii="Candara" w:hAnsi="Candara" w:cs="Al Bayan Plain"/>
          <w:b/>
          <w:bCs/>
          <w:color w:val="000000"/>
          <w:position w:val="0"/>
          <w:lang w:eastAsia="en-US"/>
        </w:rPr>
      </w:pPr>
      <w:proofErr w:type="spellStart"/>
      <w:r w:rsidRPr="00483C38">
        <w:rPr>
          <w:rFonts w:ascii="Candara" w:hAnsi="Candara" w:cs="Al Bayan Plain"/>
          <w:b/>
          <w:bCs/>
          <w:color w:val="000000"/>
          <w:position w:val="0"/>
          <w:lang w:eastAsia="en-US"/>
        </w:rPr>
        <w:t>Univariat</w:t>
      </w:r>
      <w:proofErr w:type="spellEnd"/>
      <w:r w:rsidRPr="00483C38">
        <w:rPr>
          <w:rFonts w:ascii="Candara" w:hAnsi="Candara" w:cs="Al Bayan Plain"/>
          <w:b/>
          <w:bCs/>
          <w:color w:val="000000"/>
          <w:position w:val="0"/>
          <w:lang w:eastAsia="en-US"/>
        </w:rPr>
        <w:t xml:space="preserve"> Analysis</w:t>
      </w:r>
    </w:p>
    <w:p w14:paraId="0B9A1324" w14:textId="77777777" w:rsidR="005233A0" w:rsidRPr="00483C38" w:rsidRDefault="005233A0" w:rsidP="00F965FF">
      <w:pPr>
        <w:spacing w:line="240" w:lineRule="auto"/>
        <w:ind w:leftChars="0" w:firstLineChars="0" w:firstLine="0"/>
        <w:jc w:val="both"/>
        <w:rPr>
          <w:rFonts w:ascii="Candara" w:hAnsi="Candara" w:cs="Al Bayan Plain"/>
          <w:color w:val="000000"/>
          <w:position w:val="0"/>
          <w:lang w:eastAsia="en-US"/>
        </w:rPr>
      </w:pPr>
      <w:r w:rsidRPr="00483C38">
        <w:rPr>
          <w:rFonts w:ascii="Candara" w:hAnsi="Candara" w:cs="Al Bayan Plain"/>
          <w:color w:val="000000"/>
          <w:position w:val="0"/>
          <w:lang w:eastAsia="en-US"/>
        </w:rPr>
        <w:t>Data processed using univariate analysis are patient characteristics which include:</w:t>
      </w:r>
    </w:p>
    <w:p w14:paraId="30DD1429" w14:textId="77777777" w:rsidR="005233A0" w:rsidRPr="00483C38" w:rsidRDefault="005233A0" w:rsidP="00F965FF">
      <w:pPr>
        <w:spacing w:line="240" w:lineRule="auto"/>
        <w:ind w:leftChars="0" w:firstLineChars="0" w:firstLine="1"/>
        <w:jc w:val="both"/>
        <w:rPr>
          <w:rFonts w:ascii="Candara" w:hAnsi="Candara" w:cs="Al Bayan Plain"/>
          <w:color w:val="000000"/>
          <w:position w:val="0"/>
          <w:lang w:eastAsia="en-US"/>
        </w:rPr>
      </w:pPr>
      <w:r w:rsidRPr="00483C38">
        <w:rPr>
          <w:rFonts w:ascii="Candara" w:hAnsi="Candara" w:cs="Al Bayan Plain"/>
          <w:color w:val="000000"/>
          <w:position w:val="0"/>
          <w:lang w:eastAsia="en-US"/>
        </w:rPr>
        <w:t>a. Age</w:t>
      </w:r>
    </w:p>
    <w:p w14:paraId="2C5B38B2" w14:textId="77777777" w:rsidR="005233A0" w:rsidRPr="00483C38" w:rsidRDefault="005233A0" w:rsidP="00F965FF">
      <w:pPr>
        <w:spacing w:line="240" w:lineRule="auto"/>
        <w:ind w:leftChars="0" w:firstLineChars="0" w:firstLine="1"/>
        <w:jc w:val="both"/>
        <w:rPr>
          <w:rFonts w:ascii="Candara" w:hAnsi="Candara" w:cs="Al Bayan Plain"/>
          <w:color w:val="000000"/>
          <w:position w:val="0"/>
          <w:lang w:eastAsia="en-US"/>
        </w:rPr>
      </w:pPr>
      <w:r w:rsidRPr="00483C38">
        <w:rPr>
          <w:rFonts w:ascii="Candara" w:hAnsi="Candara" w:cs="Al Bayan Plain"/>
          <w:color w:val="000000"/>
          <w:position w:val="0"/>
          <w:lang w:eastAsia="en-US"/>
        </w:rPr>
        <w:t>b. Gender</w:t>
      </w:r>
    </w:p>
    <w:p w14:paraId="429AC94C" w14:textId="77777777" w:rsidR="005233A0" w:rsidRPr="00483C38" w:rsidRDefault="005233A0" w:rsidP="00F965FF">
      <w:pPr>
        <w:spacing w:line="240" w:lineRule="auto"/>
        <w:ind w:leftChars="0" w:firstLineChars="0" w:firstLine="1"/>
        <w:jc w:val="both"/>
        <w:rPr>
          <w:rFonts w:ascii="Candara" w:hAnsi="Candara" w:cs="Al Bayan Plain"/>
          <w:color w:val="000000"/>
          <w:position w:val="0"/>
          <w:lang w:eastAsia="en-US"/>
        </w:rPr>
      </w:pPr>
      <w:r w:rsidRPr="00483C38">
        <w:rPr>
          <w:rFonts w:ascii="Candara" w:hAnsi="Candara" w:cs="Al Bayan Plain"/>
          <w:color w:val="000000"/>
          <w:position w:val="0"/>
          <w:lang w:eastAsia="en-US"/>
        </w:rPr>
        <w:t>c. Comorbidities</w:t>
      </w:r>
    </w:p>
    <w:p w14:paraId="6E131184" w14:textId="171A6E1B" w:rsidR="00226D26" w:rsidRPr="00483C38" w:rsidRDefault="005233A0" w:rsidP="005233A0">
      <w:pPr>
        <w:spacing w:line="240" w:lineRule="auto"/>
        <w:ind w:leftChars="0" w:firstLineChars="0" w:firstLine="1"/>
        <w:jc w:val="both"/>
        <w:rPr>
          <w:rFonts w:ascii="Candara" w:hAnsi="Candara" w:cs="Al Bayan Plain"/>
          <w:color w:val="000000"/>
          <w:position w:val="0"/>
          <w:lang w:eastAsia="en-US"/>
        </w:rPr>
      </w:pPr>
      <w:r w:rsidRPr="00483C38">
        <w:rPr>
          <w:rFonts w:ascii="Candara" w:hAnsi="Candara" w:cs="Al Bayan Plain"/>
          <w:color w:val="000000"/>
          <w:position w:val="0"/>
          <w:lang w:eastAsia="en-US"/>
        </w:rPr>
        <w:t>d. Length of treatment days.</w:t>
      </w:r>
    </w:p>
    <w:p w14:paraId="0BEF767C" w14:textId="77777777" w:rsidR="005233A0" w:rsidRPr="00483C38" w:rsidRDefault="005233A0" w:rsidP="0077254C">
      <w:pPr>
        <w:spacing w:line="240" w:lineRule="auto"/>
        <w:ind w:leftChars="0" w:left="0" w:firstLineChars="0" w:firstLine="0"/>
        <w:jc w:val="both"/>
        <w:rPr>
          <w:rFonts w:ascii="Candara" w:hAnsi="Candara" w:cs="Al Bayan Plain"/>
          <w:b/>
          <w:bCs/>
          <w:color w:val="000000"/>
          <w:position w:val="0"/>
          <w:lang w:eastAsia="en-US"/>
        </w:rPr>
      </w:pPr>
      <w:r w:rsidRPr="00483C38">
        <w:rPr>
          <w:rFonts w:ascii="Candara" w:hAnsi="Candara" w:cs="Al Bayan Plain"/>
          <w:b/>
          <w:bCs/>
          <w:color w:val="000000"/>
          <w:position w:val="0"/>
          <w:lang w:eastAsia="en-US"/>
        </w:rPr>
        <w:t>Data Analysis with ATC/DDD Method and DU 90%</w:t>
      </w:r>
    </w:p>
    <w:p w14:paraId="64B8CFC7" w14:textId="500D14CC" w:rsidR="00715CAD" w:rsidRPr="00483C38" w:rsidRDefault="005233A0" w:rsidP="005233A0">
      <w:pPr>
        <w:spacing w:line="240" w:lineRule="auto"/>
        <w:ind w:leftChars="0" w:firstLineChars="0" w:firstLine="541"/>
        <w:jc w:val="both"/>
        <w:rPr>
          <w:rFonts w:ascii="Candara" w:hAnsi="Candara" w:cs="Al Bayan Plain"/>
          <w:color w:val="000000"/>
          <w:position w:val="0"/>
          <w:lang w:eastAsia="en-US"/>
        </w:rPr>
      </w:pPr>
      <w:r w:rsidRPr="00483C38">
        <w:rPr>
          <w:rFonts w:ascii="Candara" w:hAnsi="Candara" w:cs="Al Bayan Plain"/>
          <w:color w:val="000000"/>
          <w:position w:val="0"/>
          <w:lang w:eastAsia="en-US"/>
        </w:rPr>
        <w:t>Data analysis was carried out by calculating the quantity of antibiotic use in urinary tract infection patients in the inpatient installation of RSU X with the ATC / DDD method processed with a combination of Microsoft Excel 2007 programs.</w:t>
      </w:r>
    </w:p>
    <w:p w14:paraId="4E21D7FB" w14:textId="22C7811A" w:rsidR="00715CAD" w:rsidRPr="00483C38" w:rsidRDefault="00AE7E6D" w:rsidP="00715CAD">
      <w:pPr>
        <w:pStyle w:val="ListParagraph"/>
        <w:tabs>
          <w:tab w:val="center" w:pos="4135"/>
        </w:tabs>
        <w:ind w:left="0" w:hanging="2"/>
        <w:jc w:val="both"/>
        <w:rPr>
          <w:rFonts w:ascii="Candara" w:hAnsi="Candara"/>
        </w:rPr>
      </w:pPr>
      <w:r w:rsidRPr="00483C38">
        <w:rPr>
          <w:rFonts w:ascii="Candara" w:hAnsi="Candara"/>
        </w:rPr>
        <w:t>Formula</w:t>
      </w:r>
      <w:r w:rsidR="00715CAD" w:rsidRPr="00483C38">
        <w:rPr>
          <w:rFonts w:ascii="Candara" w:hAnsi="Candara"/>
        </w:rPr>
        <w:t xml:space="preserve">: </w:t>
      </w:r>
    </w:p>
    <w:p w14:paraId="0367994B" w14:textId="2E27C715" w:rsidR="00715CAD" w:rsidRPr="00483C38" w:rsidRDefault="00715CAD" w:rsidP="00715CAD">
      <w:pPr>
        <w:pStyle w:val="ListParagraph"/>
        <w:tabs>
          <w:tab w:val="center" w:pos="4135"/>
        </w:tabs>
        <w:ind w:left="0" w:hanging="2"/>
        <w:jc w:val="both"/>
        <w:rPr>
          <w:rFonts w:ascii="Candara" w:eastAsiaTheme="minorEastAsia" w:hAnsi="Candara"/>
        </w:rPr>
      </w:pPr>
      <w:r w:rsidRPr="00483C38">
        <w:rPr>
          <w:rFonts w:ascii="Candara" w:hAnsi="Candara"/>
          <w:b/>
          <w:bCs/>
          <w:noProof/>
        </w:rPr>
        <mc:AlternateContent>
          <mc:Choice Requires="wps">
            <w:drawing>
              <wp:anchor distT="0" distB="0" distL="114300" distR="114300" simplePos="0" relativeHeight="251659264" behindDoc="0" locked="0" layoutInCell="1" allowOverlap="1" wp14:anchorId="3870954F" wp14:editId="6C21E6FB">
                <wp:simplePos x="0" y="0"/>
                <wp:positionH relativeFrom="margin">
                  <wp:align>left</wp:align>
                </wp:positionH>
                <wp:positionV relativeFrom="paragraph">
                  <wp:posOffset>103505</wp:posOffset>
                </wp:positionV>
                <wp:extent cx="4991100" cy="483079"/>
                <wp:effectExtent l="0" t="0" r="19050"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83079"/>
                        </a:xfrm>
                        <a:prstGeom prst="rect">
                          <a:avLst/>
                        </a:prstGeom>
                        <a:solidFill>
                          <a:srgbClr val="FFFFFF"/>
                        </a:solidFill>
                        <a:ln w="9525">
                          <a:solidFill>
                            <a:srgbClr val="000000"/>
                          </a:solidFill>
                          <a:miter lim="800000"/>
                          <a:headEnd/>
                          <a:tailEnd/>
                        </a:ln>
                      </wps:spPr>
                      <wps:txbx>
                        <w:txbxContent>
                          <w:p w14:paraId="57E02CC1" w14:textId="7BAC33BA" w:rsidR="00715CAD" w:rsidRPr="005F6912" w:rsidRDefault="00715CAD" w:rsidP="00715CAD">
                            <w:pPr>
                              <w:tabs>
                                <w:tab w:val="center" w:pos="4135"/>
                              </w:tabs>
                              <w:spacing w:line="360" w:lineRule="auto"/>
                              <w:ind w:left="0" w:hanging="2"/>
                            </w:pPr>
                            <w:r w:rsidRPr="005F6912">
                              <w:t xml:space="preserve">DDD/100 </w:t>
                            </w:r>
                            <w:r w:rsidRPr="005F6912">
                              <w:rPr>
                                <w:i/>
                                <w:iCs/>
                              </w:rPr>
                              <w:t xml:space="preserve">patient days </w:t>
                            </w:r>
                            <w:r w:rsidRPr="005F6912">
                              <w:t xml:space="preserve">=   </w:t>
                            </w:r>
                            <m:oMath>
                              <m:f>
                                <m:fPr>
                                  <m:ctrlPr>
                                    <w:rPr>
                                      <w:rFonts w:ascii="Cambria Math" w:hAnsi="Cambria Math" w:cstheme="majorHAnsi"/>
                                      <w:i/>
                                      <w:sz w:val="20"/>
                                      <w:szCs w:val="20"/>
                                    </w:rPr>
                                  </m:ctrlPr>
                                </m:fPr>
                                <m:num>
                                  <m:r>
                                    <w:rPr>
                                      <w:rFonts w:ascii="Cambria Math" w:hAnsi="Cambria Math" w:cstheme="majorHAnsi"/>
                                      <w:sz w:val="20"/>
                                      <w:szCs w:val="20"/>
                                    </w:rPr>
                                    <m:t>The number of grams of antibiotics used by the patient</m:t>
                                  </m:r>
                                </m:num>
                                <m:den>
                                  <m:r>
                                    <w:rPr>
                                      <w:rFonts w:ascii="Cambria Math" w:hAnsi="Cambria Math" w:cstheme="majorHAnsi"/>
                                      <w:sz w:val="20"/>
                                      <w:szCs w:val="20"/>
                                    </w:rPr>
                                    <m:t>WHO standard DDD value for antibiotics in grams</m:t>
                                  </m:r>
                                </m:den>
                              </m:f>
                              <m:r>
                                <w:rPr>
                                  <w:rFonts w:ascii="Cambria Math" w:hAnsi="Cambria Math" w:cstheme="majorHAnsi"/>
                                  <w:sz w:val="20"/>
                                  <w:szCs w:val="20"/>
                                </w:rPr>
                                <m:t>x</m:t>
                              </m:r>
                              <m:f>
                                <m:fPr>
                                  <m:ctrlPr>
                                    <w:rPr>
                                      <w:rFonts w:ascii="Cambria Math" w:hAnsi="Cambria Math" w:cstheme="majorHAnsi"/>
                                      <w:i/>
                                      <w:sz w:val="20"/>
                                      <w:szCs w:val="20"/>
                                    </w:rPr>
                                  </m:ctrlPr>
                                </m:fPr>
                                <m:num>
                                  <m:r>
                                    <w:rPr>
                                      <w:rFonts w:ascii="Cambria Math" w:hAnsi="Cambria Math" w:cstheme="majorHAnsi"/>
                                      <w:sz w:val="20"/>
                                      <w:szCs w:val="20"/>
                                    </w:rPr>
                                    <m:t>100</m:t>
                                  </m:r>
                                </m:num>
                                <m:den>
                                  <m:r>
                                    <w:rPr>
                                      <w:rFonts w:ascii="Cambria Math" w:hAnsi="Cambria Math" w:cstheme="majorHAnsi"/>
                                      <w:sz w:val="20"/>
                                      <w:szCs w:val="20"/>
                                    </w:rPr>
                                    <m:t>Total LOS</m:t>
                                  </m:r>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0954F" id="_x0000_t202" coordsize="21600,21600" o:spt="202" path="m,l,21600r21600,l21600,xe">
                <v:stroke joinstyle="miter"/>
                <v:path gradientshapeok="t" o:connecttype="rect"/>
              </v:shapetype>
              <v:shape id="Text Box 6" o:spid="_x0000_s1026" type="#_x0000_t202" style="position:absolute;left:0;text-align:left;margin-left:0;margin-top:8.15pt;width:393pt;height:38.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">
                <v:textbox>
                  <w:txbxContent>
                    <w:p w14:paraId="57E02CC1" w14:textId="7BAC33BA" w:rsidR="00715CAD" w:rsidRPr="005F6912" w:rsidRDefault="00715CAD" w:rsidP="00715CAD">
                      <w:pPr>
                        <w:tabs>
                          <w:tab w:val="center" w:pos="4135"/>
                        </w:tabs>
                        <w:spacing w:line="360" w:lineRule="auto"/>
                        <w:ind w:left="0" w:hanging="2"/>
                      </w:pPr>
                      <w:r w:rsidRPr="005F6912">
                        <w:t xml:space="preserve">DDD/100 </w:t>
                      </w:r>
                      <w:r w:rsidRPr="005F6912">
                        <w:rPr>
                          <w:i/>
                          <w:iCs/>
                        </w:rPr>
                        <w:t xml:space="preserve">patient days </w:t>
                      </w:r>
                      <w:r w:rsidRPr="005F6912">
                        <w:t xml:space="preserve">=   </w:t>
                      </w:r>
                      <m:oMath>
                        <m:f>
                          <m:fPr>
                            <m:ctrlPr>
                              <w:rPr>
                                <w:rFonts w:ascii="Cambria Math" w:hAnsi="Cambria Math" w:cstheme="majorHAnsi"/>
                                <w:i/>
                                <w:sz w:val="20"/>
                                <w:szCs w:val="20"/>
                              </w:rPr>
                            </m:ctrlPr>
                          </m:fPr>
                          <m:num>
                            <m:r>
                              <w:rPr>
                                <w:rFonts w:ascii="Cambria Math" w:hAnsi="Cambria Math" w:cstheme="majorHAnsi"/>
                                <w:sz w:val="20"/>
                                <w:szCs w:val="20"/>
                              </w:rPr>
                              <m:t>The number of grams of antibiotics used by the patient</m:t>
                            </m:r>
                          </m:num>
                          <m:den>
                            <m:r>
                              <w:rPr>
                                <w:rFonts w:ascii="Cambria Math" w:hAnsi="Cambria Math" w:cstheme="majorHAnsi"/>
                                <w:sz w:val="20"/>
                                <w:szCs w:val="20"/>
                              </w:rPr>
                              <m:t>WHO standard DDD value for antibiotics in grams</m:t>
                            </m:r>
                          </m:den>
                        </m:f>
                        <m:r>
                          <w:rPr>
                            <w:rFonts w:ascii="Cambria Math" w:hAnsi="Cambria Math" w:cstheme="majorHAnsi"/>
                            <w:sz w:val="20"/>
                            <w:szCs w:val="20"/>
                          </w:rPr>
                          <m:t>x</m:t>
                        </m:r>
                        <m:f>
                          <m:fPr>
                            <m:ctrlPr>
                              <w:rPr>
                                <w:rFonts w:ascii="Cambria Math" w:hAnsi="Cambria Math" w:cstheme="majorHAnsi"/>
                                <w:i/>
                                <w:sz w:val="20"/>
                                <w:szCs w:val="20"/>
                              </w:rPr>
                            </m:ctrlPr>
                          </m:fPr>
                          <m:num>
                            <m:r>
                              <w:rPr>
                                <w:rFonts w:ascii="Cambria Math" w:hAnsi="Cambria Math" w:cstheme="majorHAnsi"/>
                                <w:sz w:val="20"/>
                                <w:szCs w:val="20"/>
                              </w:rPr>
                              <m:t>100</m:t>
                            </m:r>
                          </m:num>
                          <m:den>
                            <m:r>
                              <w:rPr>
                                <w:rFonts w:ascii="Cambria Math" w:hAnsi="Cambria Math" w:cstheme="majorHAnsi"/>
                                <w:sz w:val="20"/>
                                <w:szCs w:val="20"/>
                              </w:rPr>
                              <m:t>Total LOS</m:t>
                            </m:r>
                          </m:den>
                        </m:f>
                      </m:oMath>
                    </w:p>
                  </w:txbxContent>
                </v:textbox>
                <w10:wrap anchorx="margin"/>
              </v:shape>
            </w:pict>
          </mc:Fallback>
        </mc:AlternateContent>
      </w:r>
    </w:p>
    <w:p w14:paraId="4B93ED23" w14:textId="77777777" w:rsidR="00715CAD" w:rsidRPr="00483C38" w:rsidRDefault="00715CAD" w:rsidP="00715CAD">
      <w:pPr>
        <w:spacing w:line="240" w:lineRule="auto"/>
        <w:ind w:leftChars="0" w:firstLineChars="0" w:firstLine="541"/>
        <w:jc w:val="both"/>
        <w:rPr>
          <w:rFonts w:ascii="Candara" w:hAnsi="Candara" w:cs="Al Bayan Plain"/>
          <w:color w:val="000000"/>
          <w:position w:val="0"/>
          <w:lang w:eastAsia="en-US"/>
        </w:rPr>
      </w:pPr>
    </w:p>
    <w:p w14:paraId="31748033" w14:textId="61764BB7" w:rsidR="005C4A43" w:rsidRPr="00483C38" w:rsidRDefault="00265B12" w:rsidP="00E0244F">
      <w:pPr>
        <w:spacing w:line="240" w:lineRule="auto"/>
        <w:ind w:leftChars="0" w:left="0" w:firstLineChars="0" w:firstLine="0"/>
        <w:rPr>
          <w:rFonts w:ascii="Candara" w:eastAsia="Tahoma" w:hAnsi="Candara" w:cs="Al Bayan Plain"/>
          <w:b/>
        </w:rPr>
      </w:pPr>
      <w:r w:rsidRPr="00483C38">
        <w:rPr>
          <w:rFonts w:ascii="Candara" w:eastAsia="Tahoma" w:hAnsi="Candara" w:cs="Al Bayan Plain"/>
          <w:b/>
        </w:rPr>
        <w:t>RESULTS AND DISCUSSION</w:t>
      </w:r>
    </w:p>
    <w:p w14:paraId="1FEDEA12" w14:textId="77777777" w:rsidR="005233A0" w:rsidRPr="00483C38" w:rsidRDefault="005233A0" w:rsidP="00251AA8">
      <w:pPr>
        <w:spacing w:line="240" w:lineRule="auto"/>
        <w:ind w:leftChars="0" w:left="0" w:firstLineChars="0" w:firstLine="0"/>
        <w:jc w:val="both"/>
        <w:rPr>
          <w:rFonts w:ascii="Candara" w:hAnsi="Candara"/>
          <w:b/>
          <w:bCs/>
          <w:spacing w:val="1"/>
        </w:rPr>
      </w:pPr>
      <w:r w:rsidRPr="00483C38">
        <w:rPr>
          <w:rFonts w:ascii="Candara" w:hAnsi="Candara"/>
          <w:b/>
          <w:bCs/>
          <w:spacing w:val="1"/>
        </w:rPr>
        <w:t>Research Results</w:t>
      </w:r>
    </w:p>
    <w:p w14:paraId="6987D01F" w14:textId="0539888A" w:rsidR="00715CAD" w:rsidRPr="00483C38" w:rsidRDefault="005233A0" w:rsidP="00226D26">
      <w:pPr>
        <w:spacing w:line="240" w:lineRule="auto"/>
        <w:ind w:leftChars="0" w:left="0" w:firstLineChars="0" w:firstLine="0"/>
        <w:jc w:val="both"/>
        <w:rPr>
          <w:rFonts w:ascii="Candara" w:hAnsi="Candara"/>
          <w:b/>
          <w:bCs/>
          <w:spacing w:val="1"/>
        </w:rPr>
      </w:pPr>
      <w:r w:rsidRPr="00483C38">
        <w:rPr>
          <w:rFonts w:ascii="Candara" w:hAnsi="Candara"/>
          <w:b/>
          <w:bCs/>
          <w:spacing w:val="1"/>
        </w:rPr>
        <w:t>Patient Characteristics Data</w:t>
      </w:r>
    </w:p>
    <w:p w14:paraId="33363C70" w14:textId="77777777" w:rsidR="00715CAD" w:rsidRPr="00483C38" w:rsidRDefault="00715CAD" w:rsidP="00715CAD">
      <w:pPr>
        <w:spacing w:line="240" w:lineRule="auto"/>
        <w:ind w:leftChars="0" w:left="0" w:firstLineChars="0" w:firstLine="0"/>
        <w:jc w:val="both"/>
        <w:rPr>
          <w:rFonts w:ascii="Candara" w:hAnsi="Candara"/>
          <w:spacing w:val="1"/>
        </w:rPr>
      </w:pPr>
    </w:p>
    <w:p w14:paraId="61C5D911" w14:textId="311660E5" w:rsidR="00715CAD" w:rsidRPr="00483C38" w:rsidRDefault="005233A0" w:rsidP="005233A0">
      <w:pPr>
        <w:spacing w:line="240" w:lineRule="auto"/>
        <w:ind w:leftChars="0" w:firstLineChars="0" w:firstLine="0"/>
        <w:jc w:val="center"/>
        <w:rPr>
          <w:rFonts w:ascii="Candara" w:hAnsi="Candara"/>
          <w:b/>
          <w:bCs/>
          <w:spacing w:val="1"/>
        </w:rPr>
      </w:pPr>
      <w:r w:rsidRPr="00483C38">
        <w:rPr>
          <w:rFonts w:ascii="Candara" w:hAnsi="Candara"/>
          <w:b/>
          <w:bCs/>
          <w:spacing w:val="1"/>
        </w:rPr>
        <w:t>Table 1. Frequency Distribution of Urinary Tract Infection Patient Characteristics at RSU X in East Jakarta in 2019</w:t>
      </w:r>
    </w:p>
    <w:tbl>
      <w:tblPr>
        <w:tblStyle w:val="TableGrid"/>
        <w:tblW w:w="0" w:type="auto"/>
        <w:jc w:val="center"/>
        <w:tblLook w:val="04A0" w:firstRow="1" w:lastRow="0" w:firstColumn="1" w:lastColumn="0" w:noHBand="0" w:noVBand="1"/>
      </w:tblPr>
      <w:tblGrid>
        <w:gridCol w:w="570"/>
        <w:gridCol w:w="3092"/>
        <w:gridCol w:w="1984"/>
        <w:gridCol w:w="1276"/>
      </w:tblGrid>
      <w:tr w:rsidR="00715CAD" w:rsidRPr="00483C38" w14:paraId="3BF328D5" w14:textId="77777777" w:rsidTr="00A44B6D">
        <w:trPr>
          <w:jc w:val="center"/>
        </w:trPr>
        <w:tc>
          <w:tcPr>
            <w:tcW w:w="570" w:type="dxa"/>
            <w:vAlign w:val="center"/>
          </w:tcPr>
          <w:p w14:paraId="66248F32" w14:textId="77777777" w:rsidR="00715CAD" w:rsidRPr="00483C38" w:rsidRDefault="00715CAD" w:rsidP="00A44B6D">
            <w:pPr>
              <w:ind w:left="0" w:hanging="2"/>
              <w:jc w:val="center"/>
              <w:rPr>
                <w:rFonts w:ascii="Candara" w:hAnsi="Candara"/>
                <w:b/>
                <w:bCs/>
              </w:rPr>
            </w:pPr>
            <w:r w:rsidRPr="00483C38">
              <w:rPr>
                <w:rFonts w:ascii="Candara" w:hAnsi="Candara"/>
                <w:b/>
                <w:bCs/>
                <w:sz w:val="20"/>
                <w:szCs w:val="20"/>
              </w:rPr>
              <w:t>No</w:t>
            </w:r>
            <w:r w:rsidRPr="00483C38">
              <w:rPr>
                <w:rFonts w:ascii="Candara" w:hAnsi="Candara"/>
                <w:b/>
                <w:bCs/>
              </w:rPr>
              <w:t>.</w:t>
            </w:r>
          </w:p>
        </w:tc>
        <w:tc>
          <w:tcPr>
            <w:tcW w:w="3092" w:type="dxa"/>
            <w:vAlign w:val="center"/>
          </w:tcPr>
          <w:p w14:paraId="2396562B" w14:textId="31677082" w:rsidR="00715CAD" w:rsidRPr="00483C38" w:rsidRDefault="005233A0" w:rsidP="00A44B6D">
            <w:pPr>
              <w:ind w:left="0" w:hanging="2"/>
              <w:jc w:val="center"/>
              <w:rPr>
                <w:rFonts w:ascii="Candara" w:hAnsi="Candara"/>
                <w:b/>
                <w:bCs/>
                <w:sz w:val="20"/>
                <w:szCs w:val="20"/>
              </w:rPr>
            </w:pPr>
            <w:r w:rsidRPr="00483C38">
              <w:rPr>
                <w:rFonts w:ascii="Candara" w:hAnsi="Candara"/>
                <w:b/>
                <w:bCs/>
                <w:sz w:val="20"/>
                <w:szCs w:val="20"/>
              </w:rPr>
              <w:t>Characteristics</w:t>
            </w:r>
          </w:p>
        </w:tc>
        <w:tc>
          <w:tcPr>
            <w:tcW w:w="1984" w:type="dxa"/>
            <w:vAlign w:val="center"/>
          </w:tcPr>
          <w:p w14:paraId="597483C4" w14:textId="268EB6C0" w:rsidR="00715CAD" w:rsidRPr="00483C38" w:rsidRDefault="005233A0" w:rsidP="00A44B6D">
            <w:pPr>
              <w:ind w:left="0" w:hanging="2"/>
              <w:jc w:val="center"/>
              <w:rPr>
                <w:rFonts w:ascii="Candara" w:hAnsi="Candara"/>
                <w:b/>
                <w:bCs/>
                <w:sz w:val="20"/>
                <w:szCs w:val="20"/>
              </w:rPr>
            </w:pPr>
            <w:r w:rsidRPr="00483C38">
              <w:rPr>
                <w:rFonts w:ascii="Candara" w:hAnsi="Candara"/>
                <w:b/>
                <w:bCs/>
                <w:sz w:val="20"/>
                <w:szCs w:val="20"/>
              </w:rPr>
              <w:t xml:space="preserve">Frequency </w:t>
            </w:r>
            <w:r w:rsidR="00715CAD" w:rsidRPr="00483C38">
              <w:rPr>
                <w:rFonts w:ascii="Candara" w:hAnsi="Candara"/>
                <w:b/>
                <w:bCs/>
                <w:sz w:val="20"/>
                <w:szCs w:val="20"/>
              </w:rPr>
              <w:t>(n = 115)</w:t>
            </w:r>
          </w:p>
        </w:tc>
        <w:tc>
          <w:tcPr>
            <w:tcW w:w="1276" w:type="dxa"/>
            <w:vAlign w:val="center"/>
          </w:tcPr>
          <w:p w14:paraId="65EFCF5E" w14:textId="77777777" w:rsidR="00715CAD" w:rsidRPr="00483C38" w:rsidRDefault="00715CAD" w:rsidP="00A44B6D">
            <w:pPr>
              <w:ind w:left="0" w:hanging="2"/>
              <w:jc w:val="center"/>
              <w:rPr>
                <w:rFonts w:ascii="Candara" w:hAnsi="Candara"/>
                <w:b/>
                <w:bCs/>
                <w:sz w:val="20"/>
                <w:szCs w:val="20"/>
              </w:rPr>
            </w:pPr>
            <w:r w:rsidRPr="00483C38">
              <w:rPr>
                <w:rFonts w:ascii="Candara" w:hAnsi="Candara"/>
                <w:b/>
                <w:bCs/>
                <w:sz w:val="20"/>
                <w:szCs w:val="20"/>
              </w:rPr>
              <w:t>(%)</w:t>
            </w:r>
          </w:p>
        </w:tc>
      </w:tr>
      <w:tr w:rsidR="00715CAD" w:rsidRPr="00483C38" w14:paraId="4C6BD15B" w14:textId="77777777" w:rsidTr="00A44B6D">
        <w:trPr>
          <w:trHeight w:val="719"/>
          <w:jc w:val="center"/>
        </w:trPr>
        <w:tc>
          <w:tcPr>
            <w:tcW w:w="570" w:type="dxa"/>
          </w:tcPr>
          <w:p w14:paraId="7A724B7E"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w:t>
            </w:r>
          </w:p>
        </w:tc>
        <w:tc>
          <w:tcPr>
            <w:tcW w:w="3092" w:type="dxa"/>
            <w:vAlign w:val="center"/>
          </w:tcPr>
          <w:p w14:paraId="0DC711FE" w14:textId="4D789E31" w:rsidR="00715CAD" w:rsidRPr="00483C38" w:rsidRDefault="005233A0" w:rsidP="00A44B6D">
            <w:pPr>
              <w:ind w:left="0" w:hanging="2"/>
              <w:rPr>
                <w:rFonts w:ascii="Candara" w:hAnsi="Candara"/>
                <w:b/>
                <w:bCs/>
                <w:sz w:val="20"/>
                <w:szCs w:val="20"/>
              </w:rPr>
            </w:pPr>
            <w:r w:rsidRPr="00483C38">
              <w:rPr>
                <w:rFonts w:ascii="Candara" w:hAnsi="Candara"/>
                <w:b/>
                <w:bCs/>
                <w:sz w:val="20"/>
                <w:szCs w:val="20"/>
              </w:rPr>
              <w:t>Gender</w:t>
            </w:r>
            <w:r w:rsidR="00715CAD" w:rsidRPr="00483C38">
              <w:rPr>
                <w:rFonts w:ascii="Candara" w:hAnsi="Candara"/>
                <w:b/>
                <w:bCs/>
                <w:sz w:val="20"/>
                <w:szCs w:val="20"/>
              </w:rPr>
              <w:t>:</w:t>
            </w:r>
          </w:p>
          <w:p w14:paraId="290A026F" w14:textId="517D64C0" w:rsidR="00715CAD" w:rsidRPr="00483C38" w:rsidRDefault="00715CAD" w:rsidP="00A44B6D">
            <w:pPr>
              <w:ind w:left="0" w:hanging="2"/>
              <w:rPr>
                <w:rFonts w:ascii="Candara" w:hAnsi="Candara"/>
                <w:sz w:val="20"/>
                <w:szCs w:val="20"/>
              </w:rPr>
            </w:pPr>
            <w:r w:rsidRPr="00483C38">
              <w:rPr>
                <w:rFonts w:ascii="Candara" w:hAnsi="Candara"/>
                <w:sz w:val="20"/>
                <w:szCs w:val="20"/>
              </w:rPr>
              <w:t xml:space="preserve">1. </w:t>
            </w:r>
            <w:r w:rsidR="005233A0" w:rsidRPr="00483C38">
              <w:rPr>
                <w:rFonts w:ascii="Candara" w:hAnsi="Candara"/>
                <w:sz w:val="20"/>
                <w:szCs w:val="20"/>
              </w:rPr>
              <w:t>Man</w:t>
            </w:r>
          </w:p>
          <w:p w14:paraId="000C28E8" w14:textId="1CA11943" w:rsidR="00715CAD" w:rsidRPr="00483C38" w:rsidRDefault="00715CAD" w:rsidP="00A44B6D">
            <w:pPr>
              <w:ind w:left="0" w:hanging="2"/>
              <w:rPr>
                <w:rFonts w:ascii="Candara" w:hAnsi="Candara"/>
                <w:sz w:val="20"/>
                <w:szCs w:val="20"/>
              </w:rPr>
            </w:pPr>
            <w:r w:rsidRPr="00483C38">
              <w:rPr>
                <w:rFonts w:ascii="Candara" w:hAnsi="Candara"/>
                <w:sz w:val="20"/>
                <w:szCs w:val="20"/>
              </w:rPr>
              <w:t xml:space="preserve">2. </w:t>
            </w:r>
            <w:r w:rsidR="005233A0" w:rsidRPr="00483C38">
              <w:rPr>
                <w:rFonts w:ascii="Candara" w:hAnsi="Candara"/>
                <w:sz w:val="20"/>
                <w:szCs w:val="20"/>
              </w:rPr>
              <w:t>Woman</w:t>
            </w:r>
          </w:p>
        </w:tc>
        <w:tc>
          <w:tcPr>
            <w:tcW w:w="1984" w:type="dxa"/>
            <w:vAlign w:val="center"/>
          </w:tcPr>
          <w:p w14:paraId="6D89F1D1" w14:textId="77777777" w:rsidR="00715CAD" w:rsidRPr="00483C38" w:rsidRDefault="00715CAD" w:rsidP="00A44B6D">
            <w:pPr>
              <w:ind w:left="0" w:hanging="2"/>
              <w:jc w:val="center"/>
              <w:rPr>
                <w:rFonts w:ascii="Candara" w:hAnsi="Candara"/>
                <w:sz w:val="20"/>
                <w:szCs w:val="20"/>
              </w:rPr>
            </w:pPr>
          </w:p>
          <w:p w14:paraId="600EDF34"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43</w:t>
            </w:r>
          </w:p>
          <w:p w14:paraId="3595B452"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72</w:t>
            </w:r>
          </w:p>
        </w:tc>
        <w:tc>
          <w:tcPr>
            <w:tcW w:w="1276" w:type="dxa"/>
            <w:vAlign w:val="center"/>
          </w:tcPr>
          <w:p w14:paraId="4B336CE1" w14:textId="77777777" w:rsidR="00715CAD" w:rsidRPr="00483C38" w:rsidRDefault="00715CAD" w:rsidP="00A44B6D">
            <w:pPr>
              <w:ind w:left="0" w:hanging="2"/>
              <w:jc w:val="center"/>
              <w:rPr>
                <w:rFonts w:ascii="Candara" w:hAnsi="Candara"/>
                <w:sz w:val="20"/>
                <w:szCs w:val="20"/>
              </w:rPr>
            </w:pPr>
          </w:p>
          <w:p w14:paraId="0EE4CB55"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37,4</w:t>
            </w:r>
          </w:p>
          <w:p w14:paraId="7A593C50"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62,6</w:t>
            </w:r>
          </w:p>
        </w:tc>
      </w:tr>
      <w:tr w:rsidR="00715CAD" w:rsidRPr="00483C38" w14:paraId="6A07D97B" w14:textId="77777777" w:rsidTr="00A44B6D">
        <w:trPr>
          <w:trHeight w:val="1623"/>
          <w:jc w:val="center"/>
        </w:trPr>
        <w:tc>
          <w:tcPr>
            <w:tcW w:w="570" w:type="dxa"/>
          </w:tcPr>
          <w:p w14:paraId="5F4B797B"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2.</w:t>
            </w:r>
          </w:p>
        </w:tc>
        <w:tc>
          <w:tcPr>
            <w:tcW w:w="3092" w:type="dxa"/>
            <w:vAlign w:val="center"/>
          </w:tcPr>
          <w:p w14:paraId="6D805353" w14:textId="70CE4E48" w:rsidR="00715CAD" w:rsidRPr="00483C38" w:rsidRDefault="005233A0" w:rsidP="00A44B6D">
            <w:pPr>
              <w:ind w:left="0" w:hanging="2"/>
              <w:rPr>
                <w:rFonts w:ascii="Candara" w:hAnsi="Candara"/>
                <w:b/>
                <w:bCs/>
                <w:sz w:val="20"/>
                <w:szCs w:val="20"/>
              </w:rPr>
            </w:pPr>
            <w:r w:rsidRPr="00483C38">
              <w:rPr>
                <w:rFonts w:ascii="Candara" w:hAnsi="Candara"/>
                <w:b/>
                <w:bCs/>
                <w:sz w:val="20"/>
                <w:szCs w:val="20"/>
              </w:rPr>
              <w:t>Age</w:t>
            </w:r>
            <w:r w:rsidR="00715CAD" w:rsidRPr="00483C38">
              <w:rPr>
                <w:rFonts w:ascii="Candara" w:hAnsi="Candara"/>
                <w:b/>
                <w:bCs/>
                <w:sz w:val="20"/>
                <w:szCs w:val="20"/>
              </w:rPr>
              <w:t>:</w:t>
            </w:r>
          </w:p>
          <w:p w14:paraId="6F0989B7"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1. 18-30</w:t>
            </w:r>
          </w:p>
          <w:p w14:paraId="5BF52757"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2. 31-40</w:t>
            </w:r>
          </w:p>
          <w:p w14:paraId="66F32A2A"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3. 41-50</w:t>
            </w:r>
          </w:p>
          <w:p w14:paraId="19A58D3D"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4. 51-60</w:t>
            </w:r>
          </w:p>
          <w:p w14:paraId="7F2819EC"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3. 61-70</w:t>
            </w:r>
          </w:p>
          <w:p w14:paraId="40777EDA"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6. &gt;70</w:t>
            </w:r>
          </w:p>
        </w:tc>
        <w:tc>
          <w:tcPr>
            <w:tcW w:w="1984" w:type="dxa"/>
            <w:vAlign w:val="center"/>
          </w:tcPr>
          <w:p w14:paraId="434A3E72" w14:textId="77777777" w:rsidR="00715CAD" w:rsidRPr="00483C38" w:rsidRDefault="00715CAD" w:rsidP="00A44B6D">
            <w:pPr>
              <w:ind w:left="0" w:hanging="2"/>
              <w:jc w:val="center"/>
              <w:rPr>
                <w:rFonts w:ascii="Candara" w:hAnsi="Candara"/>
                <w:sz w:val="20"/>
                <w:szCs w:val="20"/>
              </w:rPr>
            </w:pPr>
          </w:p>
          <w:p w14:paraId="124A7FAC"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19</w:t>
            </w:r>
          </w:p>
          <w:p w14:paraId="4F109E4F"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8</w:t>
            </w:r>
          </w:p>
          <w:p w14:paraId="4B9618B6"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19</w:t>
            </w:r>
          </w:p>
          <w:p w14:paraId="583EDA0E"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23</w:t>
            </w:r>
          </w:p>
          <w:p w14:paraId="7E40200D"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30</w:t>
            </w:r>
          </w:p>
          <w:p w14:paraId="7D1A922C"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16</w:t>
            </w:r>
          </w:p>
        </w:tc>
        <w:tc>
          <w:tcPr>
            <w:tcW w:w="1276" w:type="dxa"/>
            <w:vAlign w:val="center"/>
          </w:tcPr>
          <w:p w14:paraId="7F66A122" w14:textId="77777777" w:rsidR="00715CAD" w:rsidRPr="00483C38" w:rsidRDefault="00715CAD" w:rsidP="00A44B6D">
            <w:pPr>
              <w:ind w:left="0" w:hanging="2"/>
              <w:jc w:val="center"/>
              <w:rPr>
                <w:rFonts w:ascii="Candara" w:hAnsi="Candara"/>
                <w:sz w:val="20"/>
                <w:szCs w:val="20"/>
              </w:rPr>
            </w:pPr>
          </w:p>
          <w:p w14:paraId="1F409EFF"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16,5</w:t>
            </w:r>
          </w:p>
          <w:p w14:paraId="0D206A0B"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7</w:t>
            </w:r>
          </w:p>
          <w:p w14:paraId="2F90CD76"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16,5</w:t>
            </w:r>
          </w:p>
          <w:p w14:paraId="6126FAD0"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20</w:t>
            </w:r>
          </w:p>
          <w:p w14:paraId="2F70DA53"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26,1</w:t>
            </w:r>
          </w:p>
          <w:p w14:paraId="1774770D"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13,9</w:t>
            </w:r>
          </w:p>
        </w:tc>
      </w:tr>
      <w:tr w:rsidR="00715CAD" w:rsidRPr="00483C38" w14:paraId="749560E9" w14:textId="77777777" w:rsidTr="00A44B6D">
        <w:trPr>
          <w:trHeight w:val="769"/>
          <w:jc w:val="center"/>
        </w:trPr>
        <w:tc>
          <w:tcPr>
            <w:tcW w:w="570" w:type="dxa"/>
          </w:tcPr>
          <w:p w14:paraId="4A2F2085"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3.</w:t>
            </w:r>
          </w:p>
        </w:tc>
        <w:tc>
          <w:tcPr>
            <w:tcW w:w="3092" w:type="dxa"/>
            <w:vAlign w:val="center"/>
          </w:tcPr>
          <w:p w14:paraId="0CFF6A2F" w14:textId="61E8280D" w:rsidR="00715CAD" w:rsidRPr="00483C38" w:rsidRDefault="005233A0" w:rsidP="00A44B6D">
            <w:pPr>
              <w:ind w:left="0" w:hanging="2"/>
              <w:rPr>
                <w:rFonts w:ascii="Candara" w:hAnsi="Candara"/>
                <w:b/>
                <w:bCs/>
                <w:sz w:val="20"/>
                <w:szCs w:val="20"/>
              </w:rPr>
            </w:pPr>
            <w:r w:rsidRPr="00483C38">
              <w:rPr>
                <w:rFonts w:ascii="Candara" w:hAnsi="Candara"/>
                <w:b/>
                <w:bCs/>
                <w:sz w:val="20"/>
                <w:szCs w:val="20"/>
              </w:rPr>
              <w:t>Comorbidities</w:t>
            </w:r>
            <w:r w:rsidR="00715CAD" w:rsidRPr="00483C38">
              <w:rPr>
                <w:rFonts w:ascii="Candara" w:hAnsi="Candara"/>
                <w:b/>
                <w:bCs/>
                <w:sz w:val="20"/>
                <w:szCs w:val="20"/>
              </w:rPr>
              <w:t>:</w:t>
            </w:r>
          </w:p>
          <w:p w14:paraId="3D9934B6" w14:textId="0C2ABFAE" w:rsidR="00715CAD" w:rsidRPr="00483C38" w:rsidRDefault="00715CAD" w:rsidP="00A44B6D">
            <w:pPr>
              <w:ind w:left="0" w:hanging="2"/>
              <w:rPr>
                <w:rFonts w:ascii="Candara" w:hAnsi="Candara"/>
                <w:sz w:val="20"/>
                <w:szCs w:val="20"/>
              </w:rPr>
            </w:pPr>
            <w:r w:rsidRPr="00483C38">
              <w:rPr>
                <w:rFonts w:ascii="Candara" w:hAnsi="Candara"/>
                <w:sz w:val="20"/>
                <w:szCs w:val="20"/>
              </w:rPr>
              <w:t xml:space="preserve">1. </w:t>
            </w:r>
            <w:r w:rsidR="005233A0" w:rsidRPr="00483C38">
              <w:rPr>
                <w:rFonts w:ascii="Candara" w:hAnsi="Candara"/>
                <w:sz w:val="20"/>
                <w:szCs w:val="20"/>
              </w:rPr>
              <w:t>There are comorbidities</w:t>
            </w:r>
          </w:p>
          <w:p w14:paraId="39880754" w14:textId="26255C98" w:rsidR="00715CAD" w:rsidRPr="00483C38" w:rsidRDefault="00715CAD" w:rsidP="00A44B6D">
            <w:pPr>
              <w:ind w:left="0" w:hanging="2"/>
              <w:rPr>
                <w:rFonts w:ascii="Candara" w:hAnsi="Candara"/>
                <w:sz w:val="20"/>
                <w:szCs w:val="20"/>
              </w:rPr>
            </w:pPr>
            <w:r w:rsidRPr="00483C38">
              <w:rPr>
                <w:rFonts w:ascii="Candara" w:hAnsi="Candara"/>
                <w:sz w:val="20"/>
                <w:szCs w:val="20"/>
              </w:rPr>
              <w:t xml:space="preserve">2. </w:t>
            </w:r>
            <w:r w:rsidR="005233A0" w:rsidRPr="00483C38">
              <w:rPr>
                <w:rFonts w:ascii="Candara" w:hAnsi="Candara"/>
                <w:sz w:val="20"/>
                <w:szCs w:val="20"/>
              </w:rPr>
              <w:t>No Comorbidities</w:t>
            </w:r>
          </w:p>
        </w:tc>
        <w:tc>
          <w:tcPr>
            <w:tcW w:w="1984" w:type="dxa"/>
            <w:vAlign w:val="center"/>
          </w:tcPr>
          <w:p w14:paraId="328DF9DB" w14:textId="77777777" w:rsidR="00715CAD" w:rsidRPr="00483C38" w:rsidRDefault="00715CAD" w:rsidP="00A44B6D">
            <w:pPr>
              <w:ind w:left="0" w:hanging="2"/>
              <w:jc w:val="center"/>
              <w:rPr>
                <w:rFonts w:ascii="Candara" w:hAnsi="Candara"/>
                <w:sz w:val="20"/>
                <w:szCs w:val="20"/>
              </w:rPr>
            </w:pPr>
          </w:p>
          <w:p w14:paraId="0BB72652"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112</w:t>
            </w:r>
          </w:p>
          <w:p w14:paraId="0C45D083"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3</w:t>
            </w:r>
          </w:p>
        </w:tc>
        <w:tc>
          <w:tcPr>
            <w:tcW w:w="1276" w:type="dxa"/>
            <w:vAlign w:val="center"/>
          </w:tcPr>
          <w:p w14:paraId="6D5CF852" w14:textId="77777777" w:rsidR="00715CAD" w:rsidRPr="00483C38" w:rsidRDefault="00715CAD" w:rsidP="00A44B6D">
            <w:pPr>
              <w:ind w:left="0" w:hanging="2"/>
              <w:jc w:val="center"/>
              <w:rPr>
                <w:rFonts w:ascii="Candara" w:hAnsi="Candara"/>
                <w:sz w:val="20"/>
                <w:szCs w:val="20"/>
              </w:rPr>
            </w:pPr>
          </w:p>
          <w:p w14:paraId="22AF4D9D"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97,4</w:t>
            </w:r>
          </w:p>
          <w:p w14:paraId="3A414233"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2,6</w:t>
            </w:r>
          </w:p>
        </w:tc>
      </w:tr>
      <w:tr w:rsidR="00715CAD" w:rsidRPr="00483C38" w14:paraId="35709789" w14:textId="77777777" w:rsidTr="00A44B6D">
        <w:trPr>
          <w:trHeight w:val="274"/>
          <w:jc w:val="center"/>
        </w:trPr>
        <w:tc>
          <w:tcPr>
            <w:tcW w:w="570" w:type="dxa"/>
          </w:tcPr>
          <w:p w14:paraId="21B3C84D"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4.</w:t>
            </w:r>
          </w:p>
        </w:tc>
        <w:tc>
          <w:tcPr>
            <w:tcW w:w="3092" w:type="dxa"/>
            <w:vAlign w:val="center"/>
          </w:tcPr>
          <w:p w14:paraId="0917FCFB" w14:textId="58F8E68D" w:rsidR="00715CAD" w:rsidRPr="00483C38" w:rsidRDefault="005233A0" w:rsidP="00A44B6D">
            <w:pPr>
              <w:ind w:left="0" w:hanging="2"/>
              <w:rPr>
                <w:rFonts w:ascii="Candara" w:hAnsi="Candara"/>
                <w:b/>
                <w:bCs/>
                <w:sz w:val="20"/>
                <w:szCs w:val="20"/>
              </w:rPr>
            </w:pPr>
            <w:r w:rsidRPr="00483C38">
              <w:rPr>
                <w:rFonts w:ascii="Candara" w:hAnsi="Candara"/>
                <w:b/>
                <w:bCs/>
                <w:sz w:val="20"/>
                <w:szCs w:val="20"/>
              </w:rPr>
              <w:t>Length of Day care (days</w:t>
            </w:r>
            <w:r w:rsidR="00715CAD" w:rsidRPr="00483C38">
              <w:rPr>
                <w:rFonts w:ascii="Candara" w:hAnsi="Candara"/>
                <w:b/>
                <w:bCs/>
                <w:sz w:val="20"/>
                <w:szCs w:val="20"/>
              </w:rPr>
              <w:t>):</w:t>
            </w:r>
          </w:p>
          <w:p w14:paraId="7850D5D6"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1. 1-3</w:t>
            </w:r>
          </w:p>
          <w:p w14:paraId="50287CD6"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2. 4-7</w:t>
            </w:r>
          </w:p>
          <w:p w14:paraId="3C49EE97" w14:textId="77777777" w:rsidR="00715CAD" w:rsidRPr="00483C38" w:rsidRDefault="00715CAD" w:rsidP="00A44B6D">
            <w:pPr>
              <w:ind w:left="0" w:hanging="2"/>
              <w:rPr>
                <w:rFonts w:ascii="Candara" w:hAnsi="Candara"/>
                <w:sz w:val="20"/>
                <w:szCs w:val="20"/>
              </w:rPr>
            </w:pPr>
            <w:r w:rsidRPr="00483C38">
              <w:rPr>
                <w:rFonts w:ascii="Candara" w:hAnsi="Candara"/>
                <w:sz w:val="20"/>
                <w:szCs w:val="20"/>
              </w:rPr>
              <w:t>3. &gt;7</w:t>
            </w:r>
          </w:p>
        </w:tc>
        <w:tc>
          <w:tcPr>
            <w:tcW w:w="1984" w:type="dxa"/>
            <w:vAlign w:val="center"/>
          </w:tcPr>
          <w:p w14:paraId="7B52F051" w14:textId="77777777" w:rsidR="00715CAD" w:rsidRPr="00483C38" w:rsidRDefault="00715CAD" w:rsidP="00A44B6D">
            <w:pPr>
              <w:ind w:left="0" w:hanging="2"/>
              <w:jc w:val="center"/>
              <w:rPr>
                <w:rFonts w:ascii="Candara" w:hAnsi="Candara"/>
                <w:sz w:val="20"/>
                <w:szCs w:val="20"/>
              </w:rPr>
            </w:pPr>
          </w:p>
          <w:p w14:paraId="37DA4EFC"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21</w:t>
            </w:r>
          </w:p>
          <w:p w14:paraId="4D14E141"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75</w:t>
            </w:r>
          </w:p>
          <w:p w14:paraId="35124DEF"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19</w:t>
            </w:r>
          </w:p>
        </w:tc>
        <w:tc>
          <w:tcPr>
            <w:tcW w:w="1276" w:type="dxa"/>
            <w:vAlign w:val="center"/>
          </w:tcPr>
          <w:p w14:paraId="1A44A311" w14:textId="77777777" w:rsidR="00715CAD" w:rsidRPr="00483C38" w:rsidRDefault="00715CAD" w:rsidP="00A44B6D">
            <w:pPr>
              <w:ind w:left="0" w:hanging="2"/>
              <w:jc w:val="center"/>
              <w:rPr>
                <w:rFonts w:ascii="Candara" w:hAnsi="Candara"/>
                <w:sz w:val="20"/>
                <w:szCs w:val="20"/>
              </w:rPr>
            </w:pPr>
          </w:p>
          <w:p w14:paraId="56308377"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18,3</w:t>
            </w:r>
          </w:p>
          <w:p w14:paraId="1E30403A"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65,2</w:t>
            </w:r>
          </w:p>
          <w:p w14:paraId="3C1CBC4D" w14:textId="77777777" w:rsidR="00715CAD" w:rsidRPr="00483C38" w:rsidRDefault="00715CAD" w:rsidP="00A44B6D">
            <w:pPr>
              <w:ind w:left="0" w:hanging="2"/>
              <w:jc w:val="center"/>
              <w:rPr>
                <w:rFonts w:ascii="Candara" w:hAnsi="Candara"/>
                <w:sz w:val="20"/>
                <w:szCs w:val="20"/>
              </w:rPr>
            </w:pPr>
            <w:r w:rsidRPr="00483C38">
              <w:rPr>
                <w:rFonts w:ascii="Candara" w:hAnsi="Candara"/>
                <w:sz w:val="20"/>
                <w:szCs w:val="20"/>
              </w:rPr>
              <w:t>16,5</w:t>
            </w:r>
          </w:p>
        </w:tc>
      </w:tr>
    </w:tbl>
    <w:p w14:paraId="79C2672B" w14:textId="77777777" w:rsidR="00715CAD" w:rsidRPr="00483C38" w:rsidRDefault="00715CAD" w:rsidP="00715CAD">
      <w:pPr>
        <w:spacing w:line="240" w:lineRule="auto"/>
        <w:ind w:leftChars="0" w:left="0" w:firstLineChars="0" w:firstLine="0"/>
        <w:jc w:val="both"/>
        <w:rPr>
          <w:rFonts w:ascii="Candara" w:hAnsi="Candara"/>
          <w:spacing w:val="1"/>
        </w:rPr>
      </w:pPr>
    </w:p>
    <w:p w14:paraId="5BE3C478" w14:textId="77777777" w:rsidR="00715CAD" w:rsidRPr="00483C38" w:rsidRDefault="00715CAD" w:rsidP="00715CAD">
      <w:pPr>
        <w:spacing w:line="240" w:lineRule="auto"/>
        <w:ind w:leftChars="0" w:firstLineChars="0" w:firstLine="541"/>
        <w:jc w:val="both"/>
        <w:rPr>
          <w:rFonts w:ascii="Candara" w:hAnsi="Candara"/>
          <w:spacing w:val="1"/>
        </w:rPr>
      </w:pPr>
    </w:p>
    <w:p w14:paraId="33C21407" w14:textId="198BFD47" w:rsidR="00226D26" w:rsidRPr="00483C38" w:rsidRDefault="009F5B64" w:rsidP="009F5B64">
      <w:pPr>
        <w:spacing w:line="240" w:lineRule="auto"/>
        <w:ind w:leftChars="0" w:firstLineChars="0" w:firstLine="541"/>
        <w:jc w:val="both"/>
        <w:rPr>
          <w:rFonts w:ascii="Candara" w:hAnsi="Candara"/>
          <w:spacing w:val="1"/>
        </w:rPr>
      </w:pPr>
      <w:r w:rsidRPr="00483C38">
        <w:rPr>
          <w:rFonts w:ascii="Candara" w:hAnsi="Candara"/>
          <w:spacing w:val="1"/>
        </w:rPr>
        <w:t xml:space="preserve">The table above shows the characteristics of urinary tract infection patients hospitalized at RSU X, the sex of the most subjects is female (62.6%), the age of the </w:t>
      </w:r>
      <w:proofErr w:type="gramStart"/>
      <w:r w:rsidRPr="00483C38">
        <w:rPr>
          <w:rFonts w:ascii="Candara" w:hAnsi="Candara"/>
          <w:spacing w:val="1"/>
        </w:rPr>
        <w:t>subjects</w:t>
      </w:r>
      <w:proofErr w:type="gramEnd"/>
      <w:r w:rsidRPr="00483C38">
        <w:rPr>
          <w:rFonts w:ascii="Candara" w:hAnsi="Candara"/>
          <w:spacing w:val="1"/>
        </w:rPr>
        <w:t xml:space="preserve"> ranges from 18-70 years, the most ranges from 51-70 years (about 60%), subjects who have comorbidities (97.4%), and the length of hospitalization days ranges the most from 4-7 days (65.2%).</w:t>
      </w:r>
    </w:p>
    <w:p w14:paraId="62E15CC5" w14:textId="77777777" w:rsidR="009F5B64" w:rsidRPr="00483C38" w:rsidRDefault="009F5B64" w:rsidP="00E86047">
      <w:pPr>
        <w:spacing w:line="240" w:lineRule="auto"/>
        <w:ind w:leftChars="0" w:left="0" w:firstLineChars="0" w:firstLine="0"/>
        <w:jc w:val="both"/>
        <w:rPr>
          <w:rFonts w:ascii="Candara" w:hAnsi="Candara"/>
          <w:b/>
          <w:bCs/>
          <w:spacing w:val="1"/>
        </w:rPr>
      </w:pPr>
      <w:r w:rsidRPr="00483C38">
        <w:rPr>
          <w:rFonts w:ascii="Candara" w:hAnsi="Candara"/>
          <w:b/>
          <w:bCs/>
          <w:spacing w:val="1"/>
        </w:rPr>
        <w:t>Overview of the types of comorbidities</w:t>
      </w:r>
    </w:p>
    <w:p w14:paraId="2D915641" w14:textId="77777777" w:rsidR="00715CAD" w:rsidRPr="00483C38" w:rsidRDefault="00715CAD" w:rsidP="00715CAD">
      <w:pPr>
        <w:spacing w:line="240" w:lineRule="auto"/>
        <w:ind w:leftChars="0" w:firstLineChars="0" w:firstLine="541"/>
        <w:jc w:val="both"/>
        <w:rPr>
          <w:rFonts w:ascii="Candara" w:hAnsi="Candara"/>
          <w:spacing w:val="1"/>
        </w:rPr>
      </w:pPr>
    </w:p>
    <w:p w14:paraId="35F26F21" w14:textId="57AA313C" w:rsidR="009F5B64" w:rsidRPr="00483C38" w:rsidRDefault="009F5B64" w:rsidP="009F5B64">
      <w:pPr>
        <w:spacing w:line="240" w:lineRule="auto"/>
        <w:ind w:leftChars="0" w:firstLineChars="0" w:firstLine="541"/>
        <w:jc w:val="center"/>
        <w:rPr>
          <w:rFonts w:ascii="Candara" w:hAnsi="Candara"/>
          <w:b/>
          <w:bCs/>
          <w:spacing w:val="1"/>
        </w:rPr>
      </w:pPr>
      <w:r w:rsidRPr="00483C38">
        <w:rPr>
          <w:rFonts w:ascii="Candara" w:hAnsi="Candara"/>
          <w:b/>
          <w:bCs/>
          <w:spacing w:val="1"/>
        </w:rPr>
        <w:t>Table 2. Distribution of Comorbidities for Urinary Tract Infection Patients in the Inpatient Installation of RSU X in 2019</w:t>
      </w:r>
    </w:p>
    <w:tbl>
      <w:tblPr>
        <w:tblStyle w:val="TableGrid"/>
        <w:tblW w:w="0" w:type="auto"/>
        <w:tblInd w:w="2154" w:type="dxa"/>
        <w:tblLook w:val="04A0" w:firstRow="1" w:lastRow="0" w:firstColumn="1" w:lastColumn="0" w:noHBand="0" w:noVBand="1"/>
      </w:tblPr>
      <w:tblGrid>
        <w:gridCol w:w="510"/>
        <w:gridCol w:w="1652"/>
        <w:gridCol w:w="1110"/>
        <w:gridCol w:w="955"/>
      </w:tblGrid>
      <w:tr w:rsidR="00715CAD" w:rsidRPr="00483C38" w14:paraId="070A353D" w14:textId="77777777" w:rsidTr="00226D26">
        <w:tc>
          <w:tcPr>
            <w:tcW w:w="509" w:type="dxa"/>
            <w:vAlign w:val="center"/>
          </w:tcPr>
          <w:p w14:paraId="05C0BE4F" w14:textId="77777777" w:rsidR="00715CAD" w:rsidRPr="00483C38" w:rsidRDefault="00715CAD" w:rsidP="00A44B6D">
            <w:pPr>
              <w:ind w:left="0" w:right="-108" w:hanging="2"/>
              <w:jc w:val="center"/>
              <w:rPr>
                <w:rFonts w:ascii="Candara" w:hAnsi="Candara"/>
                <w:b/>
                <w:bCs/>
                <w:sz w:val="20"/>
                <w:szCs w:val="20"/>
              </w:rPr>
            </w:pPr>
            <w:r w:rsidRPr="00483C38">
              <w:rPr>
                <w:rFonts w:ascii="Candara" w:hAnsi="Candara"/>
                <w:b/>
                <w:bCs/>
                <w:sz w:val="20"/>
                <w:szCs w:val="20"/>
              </w:rPr>
              <w:t>No.</w:t>
            </w:r>
          </w:p>
        </w:tc>
        <w:tc>
          <w:tcPr>
            <w:tcW w:w="1652" w:type="dxa"/>
            <w:vAlign w:val="center"/>
          </w:tcPr>
          <w:p w14:paraId="4E517EB7" w14:textId="22CF2D8E" w:rsidR="00715CAD" w:rsidRPr="00483C38" w:rsidRDefault="009F5B64" w:rsidP="00A44B6D">
            <w:pPr>
              <w:ind w:left="0" w:hanging="2"/>
              <w:jc w:val="center"/>
              <w:rPr>
                <w:rFonts w:ascii="Candara" w:hAnsi="Candara"/>
                <w:b/>
                <w:bCs/>
                <w:sz w:val="20"/>
                <w:szCs w:val="20"/>
              </w:rPr>
            </w:pPr>
            <w:r w:rsidRPr="00483C38">
              <w:rPr>
                <w:rFonts w:ascii="Candara" w:hAnsi="Candara"/>
                <w:b/>
                <w:bCs/>
                <w:sz w:val="20"/>
                <w:szCs w:val="20"/>
              </w:rPr>
              <w:t>Comorbidities</w:t>
            </w:r>
          </w:p>
        </w:tc>
        <w:tc>
          <w:tcPr>
            <w:tcW w:w="1070" w:type="dxa"/>
            <w:vAlign w:val="center"/>
          </w:tcPr>
          <w:p w14:paraId="27771E27" w14:textId="25E67FF0" w:rsidR="00715CAD" w:rsidRPr="00483C38" w:rsidRDefault="009F5B64" w:rsidP="00A44B6D">
            <w:pPr>
              <w:ind w:left="0" w:right="-57" w:hanging="2"/>
              <w:jc w:val="center"/>
              <w:rPr>
                <w:rFonts w:ascii="Candara" w:hAnsi="Candara"/>
                <w:b/>
                <w:bCs/>
                <w:sz w:val="20"/>
                <w:szCs w:val="20"/>
              </w:rPr>
            </w:pPr>
            <w:r w:rsidRPr="00483C38">
              <w:rPr>
                <w:rFonts w:ascii="Candara" w:hAnsi="Candara"/>
                <w:b/>
                <w:bCs/>
                <w:sz w:val="20"/>
                <w:szCs w:val="20"/>
              </w:rPr>
              <w:t xml:space="preserve">Frequency </w:t>
            </w:r>
            <w:r w:rsidR="00715CAD" w:rsidRPr="00483C38">
              <w:rPr>
                <w:rFonts w:ascii="Candara" w:hAnsi="Candara"/>
                <w:b/>
                <w:bCs/>
                <w:sz w:val="20"/>
                <w:szCs w:val="20"/>
              </w:rPr>
              <w:t>(n= 301)</w:t>
            </w:r>
          </w:p>
        </w:tc>
        <w:tc>
          <w:tcPr>
            <w:tcW w:w="955" w:type="dxa"/>
            <w:vAlign w:val="center"/>
          </w:tcPr>
          <w:p w14:paraId="1FCC98AF" w14:textId="77777777" w:rsidR="00715CAD" w:rsidRPr="00483C38" w:rsidRDefault="00715CAD" w:rsidP="00A44B6D">
            <w:pPr>
              <w:ind w:left="0" w:right="60" w:hanging="2"/>
              <w:jc w:val="center"/>
              <w:rPr>
                <w:rFonts w:ascii="Candara" w:hAnsi="Candara"/>
                <w:b/>
                <w:bCs/>
                <w:sz w:val="20"/>
                <w:szCs w:val="20"/>
              </w:rPr>
            </w:pPr>
            <w:r w:rsidRPr="00483C38">
              <w:rPr>
                <w:rFonts w:ascii="Candara" w:hAnsi="Candara"/>
                <w:b/>
                <w:bCs/>
                <w:sz w:val="20"/>
                <w:szCs w:val="20"/>
              </w:rPr>
              <w:t>(%)</w:t>
            </w:r>
          </w:p>
        </w:tc>
      </w:tr>
      <w:tr w:rsidR="00715CAD" w:rsidRPr="00483C38" w14:paraId="671441D4" w14:textId="77777777" w:rsidTr="00226D26">
        <w:tc>
          <w:tcPr>
            <w:tcW w:w="509" w:type="dxa"/>
            <w:vAlign w:val="center"/>
          </w:tcPr>
          <w:p w14:paraId="2DA91976" w14:textId="77777777" w:rsidR="00715CAD" w:rsidRPr="00483C38" w:rsidRDefault="00715CAD" w:rsidP="00A44B6D">
            <w:pPr>
              <w:ind w:left="0" w:right="-108" w:hanging="2"/>
              <w:jc w:val="center"/>
              <w:rPr>
                <w:rFonts w:ascii="Candara" w:hAnsi="Candara"/>
                <w:sz w:val="20"/>
                <w:szCs w:val="20"/>
              </w:rPr>
            </w:pPr>
            <w:r w:rsidRPr="00483C38">
              <w:rPr>
                <w:rFonts w:ascii="Candara" w:hAnsi="Candara"/>
                <w:sz w:val="20"/>
                <w:szCs w:val="20"/>
              </w:rPr>
              <w:t>1</w:t>
            </w:r>
          </w:p>
        </w:tc>
        <w:tc>
          <w:tcPr>
            <w:tcW w:w="1652" w:type="dxa"/>
          </w:tcPr>
          <w:p w14:paraId="4B429577" w14:textId="1B73A0EF" w:rsidR="00715CAD" w:rsidRPr="00483C38" w:rsidRDefault="0061409A" w:rsidP="00A44B6D">
            <w:pPr>
              <w:ind w:left="0" w:right="-57" w:hanging="2"/>
              <w:rPr>
                <w:rFonts w:ascii="Candara" w:hAnsi="Candara"/>
                <w:sz w:val="20"/>
                <w:szCs w:val="20"/>
              </w:rPr>
            </w:pPr>
            <w:proofErr w:type="spellStart"/>
            <w:r w:rsidRPr="00483C38">
              <w:rPr>
                <w:rFonts w:ascii="Candara" w:hAnsi="Candara"/>
                <w:sz w:val="20"/>
                <w:szCs w:val="20"/>
              </w:rPr>
              <w:t>Hypokaleemia</w:t>
            </w:r>
            <w:proofErr w:type="spellEnd"/>
          </w:p>
        </w:tc>
        <w:tc>
          <w:tcPr>
            <w:tcW w:w="1070" w:type="dxa"/>
            <w:vAlign w:val="center"/>
          </w:tcPr>
          <w:p w14:paraId="546CC8A7"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31</w:t>
            </w:r>
          </w:p>
        </w:tc>
        <w:tc>
          <w:tcPr>
            <w:tcW w:w="955" w:type="dxa"/>
            <w:vAlign w:val="center"/>
          </w:tcPr>
          <w:p w14:paraId="6C5A8103"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10,3</w:t>
            </w:r>
          </w:p>
        </w:tc>
      </w:tr>
      <w:tr w:rsidR="00715CAD" w:rsidRPr="00483C38" w14:paraId="4C477C1A" w14:textId="77777777" w:rsidTr="00226D26">
        <w:tc>
          <w:tcPr>
            <w:tcW w:w="509" w:type="dxa"/>
            <w:vAlign w:val="center"/>
          </w:tcPr>
          <w:p w14:paraId="0F2E5808" w14:textId="77777777" w:rsidR="00715CAD" w:rsidRPr="00483C38" w:rsidRDefault="00715CAD" w:rsidP="00A44B6D">
            <w:pPr>
              <w:ind w:left="0" w:right="-108" w:hanging="2"/>
              <w:jc w:val="center"/>
              <w:rPr>
                <w:rFonts w:ascii="Candara" w:hAnsi="Candara"/>
                <w:sz w:val="20"/>
                <w:szCs w:val="20"/>
              </w:rPr>
            </w:pPr>
            <w:r w:rsidRPr="00483C38">
              <w:rPr>
                <w:rFonts w:ascii="Candara" w:hAnsi="Candara"/>
                <w:sz w:val="20"/>
                <w:szCs w:val="20"/>
              </w:rPr>
              <w:t>2</w:t>
            </w:r>
          </w:p>
        </w:tc>
        <w:tc>
          <w:tcPr>
            <w:tcW w:w="1652" w:type="dxa"/>
          </w:tcPr>
          <w:p w14:paraId="7FF3E19A" w14:textId="26F13D38" w:rsidR="00715CAD" w:rsidRPr="00483C38" w:rsidRDefault="0061409A" w:rsidP="00A44B6D">
            <w:pPr>
              <w:ind w:left="0" w:right="-57" w:hanging="2"/>
              <w:rPr>
                <w:rFonts w:ascii="Candara" w:hAnsi="Candara"/>
                <w:sz w:val="20"/>
                <w:szCs w:val="20"/>
              </w:rPr>
            </w:pPr>
            <w:r w:rsidRPr="00483C38">
              <w:rPr>
                <w:rFonts w:ascii="Candara" w:hAnsi="Candara"/>
                <w:sz w:val="20"/>
                <w:szCs w:val="20"/>
              </w:rPr>
              <w:t>Dyspepsia</w:t>
            </w:r>
          </w:p>
        </w:tc>
        <w:tc>
          <w:tcPr>
            <w:tcW w:w="1070" w:type="dxa"/>
            <w:vAlign w:val="center"/>
          </w:tcPr>
          <w:p w14:paraId="4A22C1B6"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26</w:t>
            </w:r>
          </w:p>
        </w:tc>
        <w:tc>
          <w:tcPr>
            <w:tcW w:w="955" w:type="dxa"/>
            <w:vAlign w:val="center"/>
          </w:tcPr>
          <w:p w14:paraId="326E4B32"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8,7</w:t>
            </w:r>
          </w:p>
        </w:tc>
      </w:tr>
      <w:tr w:rsidR="00715CAD" w:rsidRPr="00483C38" w14:paraId="475A7D4D" w14:textId="77777777" w:rsidTr="00226D26">
        <w:tc>
          <w:tcPr>
            <w:tcW w:w="509" w:type="dxa"/>
            <w:vAlign w:val="center"/>
          </w:tcPr>
          <w:p w14:paraId="6D70E176" w14:textId="77777777" w:rsidR="00715CAD" w:rsidRPr="00483C38" w:rsidRDefault="00715CAD" w:rsidP="00A44B6D">
            <w:pPr>
              <w:ind w:left="0" w:right="-108" w:hanging="2"/>
              <w:jc w:val="center"/>
              <w:rPr>
                <w:rFonts w:ascii="Candara" w:hAnsi="Candara"/>
                <w:sz w:val="20"/>
                <w:szCs w:val="20"/>
              </w:rPr>
            </w:pPr>
            <w:r w:rsidRPr="00483C38">
              <w:rPr>
                <w:rFonts w:ascii="Candara" w:hAnsi="Candara"/>
                <w:sz w:val="20"/>
                <w:szCs w:val="20"/>
              </w:rPr>
              <w:t>3</w:t>
            </w:r>
          </w:p>
        </w:tc>
        <w:tc>
          <w:tcPr>
            <w:tcW w:w="1652" w:type="dxa"/>
          </w:tcPr>
          <w:p w14:paraId="1E865AEA" w14:textId="5EE24EC8" w:rsidR="00715CAD" w:rsidRPr="00483C38" w:rsidRDefault="0061409A" w:rsidP="00A44B6D">
            <w:pPr>
              <w:ind w:left="0" w:right="-57" w:hanging="2"/>
              <w:rPr>
                <w:rFonts w:ascii="Candara" w:hAnsi="Candara"/>
                <w:sz w:val="20"/>
                <w:szCs w:val="20"/>
              </w:rPr>
            </w:pPr>
            <w:r w:rsidRPr="00483C38">
              <w:rPr>
                <w:rFonts w:ascii="Candara" w:hAnsi="Candara"/>
                <w:sz w:val="20"/>
                <w:szCs w:val="20"/>
              </w:rPr>
              <w:t>Diabetes mellitus</w:t>
            </w:r>
          </w:p>
        </w:tc>
        <w:tc>
          <w:tcPr>
            <w:tcW w:w="1070" w:type="dxa"/>
            <w:vAlign w:val="center"/>
          </w:tcPr>
          <w:p w14:paraId="235A7DFA"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23</w:t>
            </w:r>
          </w:p>
        </w:tc>
        <w:tc>
          <w:tcPr>
            <w:tcW w:w="955" w:type="dxa"/>
            <w:vAlign w:val="center"/>
          </w:tcPr>
          <w:p w14:paraId="619FB7C9"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7,6</w:t>
            </w:r>
          </w:p>
        </w:tc>
      </w:tr>
      <w:tr w:rsidR="00715CAD" w:rsidRPr="00483C38" w14:paraId="05521FC8" w14:textId="77777777" w:rsidTr="00226D26">
        <w:tc>
          <w:tcPr>
            <w:tcW w:w="509" w:type="dxa"/>
            <w:vAlign w:val="center"/>
          </w:tcPr>
          <w:p w14:paraId="7585C04C" w14:textId="77777777" w:rsidR="00715CAD" w:rsidRPr="00483C38" w:rsidRDefault="00715CAD" w:rsidP="00A44B6D">
            <w:pPr>
              <w:ind w:left="0" w:right="-108" w:hanging="2"/>
              <w:jc w:val="center"/>
              <w:rPr>
                <w:rFonts w:ascii="Candara" w:hAnsi="Candara"/>
                <w:sz w:val="20"/>
                <w:szCs w:val="20"/>
              </w:rPr>
            </w:pPr>
            <w:r w:rsidRPr="00483C38">
              <w:rPr>
                <w:rFonts w:ascii="Candara" w:hAnsi="Candara"/>
                <w:sz w:val="20"/>
                <w:szCs w:val="20"/>
              </w:rPr>
              <w:t>4</w:t>
            </w:r>
          </w:p>
        </w:tc>
        <w:tc>
          <w:tcPr>
            <w:tcW w:w="1652" w:type="dxa"/>
          </w:tcPr>
          <w:p w14:paraId="272F0ED5" w14:textId="4C8E0221" w:rsidR="00715CAD" w:rsidRPr="00483C38" w:rsidRDefault="0061409A" w:rsidP="00A44B6D">
            <w:pPr>
              <w:ind w:left="0" w:right="-57" w:hanging="2"/>
              <w:rPr>
                <w:rFonts w:ascii="Candara" w:hAnsi="Candara"/>
                <w:i/>
                <w:iCs/>
                <w:sz w:val="20"/>
                <w:szCs w:val="20"/>
              </w:rPr>
            </w:pPr>
            <w:r w:rsidRPr="00483C38">
              <w:rPr>
                <w:rFonts w:ascii="Candara" w:hAnsi="Candara"/>
                <w:sz w:val="20"/>
                <w:szCs w:val="20"/>
              </w:rPr>
              <w:t>Hypertensive</w:t>
            </w:r>
          </w:p>
        </w:tc>
        <w:tc>
          <w:tcPr>
            <w:tcW w:w="1070" w:type="dxa"/>
            <w:vAlign w:val="center"/>
          </w:tcPr>
          <w:p w14:paraId="5358D885"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20</w:t>
            </w:r>
          </w:p>
        </w:tc>
        <w:tc>
          <w:tcPr>
            <w:tcW w:w="955" w:type="dxa"/>
            <w:vAlign w:val="center"/>
          </w:tcPr>
          <w:p w14:paraId="127749AD"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6,6</w:t>
            </w:r>
          </w:p>
        </w:tc>
      </w:tr>
      <w:tr w:rsidR="00715CAD" w:rsidRPr="00483C38" w14:paraId="21AC1FC5" w14:textId="77777777" w:rsidTr="00226D26">
        <w:tc>
          <w:tcPr>
            <w:tcW w:w="509" w:type="dxa"/>
            <w:vAlign w:val="center"/>
          </w:tcPr>
          <w:p w14:paraId="3A99FC65" w14:textId="77777777" w:rsidR="00715CAD" w:rsidRPr="00483C38" w:rsidRDefault="00715CAD" w:rsidP="00A44B6D">
            <w:pPr>
              <w:ind w:left="0" w:right="-108" w:hanging="2"/>
              <w:jc w:val="center"/>
              <w:rPr>
                <w:rFonts w:ascii="Candara" w:hAnsi="Candara"/>
                <w:sz w:val="20"/>
                <w:szCs w:val="20"/>
              </w:rPr>
            </w:pPr>
            <w:r w:rsidRPr="00483C38">
              <w:rPr>
                <w:rFonts w:ascii="Candara" w:hAnsi="Candara"/>
                <w:sz w:val="20"/>
                <w:szCs w:val="20"/>
              </w:rPr>
              <w:t>5</w:t>
            </w:r>
          </w:p>
        </w:tc>
        <w:tc>
          <w:tcPr>
            <w:tcW w:w="1652" w:type="dxa"/>
          </w:tcPr>
          <w:p w14:paraId="40748622" w14:textId="07F0E58A" w:rsidR="00715CAD" w:rsidRPr="00483C38" w:rsidRDefault="0061409A" w:rsidP="00A44B6D">
            <w:pPr>
              <w:ind w:left="0" w:right="-57" w:hanging="2"/>
              <w:rPr>
                <w:rFonts w:ascii="Candara" w:hAnsi="Candara"/>
                <w:sz w:val="20"/>
                <w:szCs w:val="20"/>
              </w:rPr>
            </w:pPr>
            <w:r w:rsidRPr="00483C38">
              <w:rPr>
                <w:rFonts w:ascii="Candara" w:hAnsi="Candara"/>
                <w:sz w:val="20"/>
                <w:szCs w:val="20"/>
              </w:rPr>
              <w:t>Anemia</w:t>
            </w:r>
          </w:p>
        </w:tc>
        <w:tc>
          <w:tcPr>
            <w:tcW w:w="1070" w:type="dxa"/>
            <w:vAlign w:val="center"/>
          </w:tcPr>
          <w:p w14:paraId="514A9F37"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20</w:t>
            </w:r>
          </w:p>
        </w:tc>
        <w:tc>
          <w:tcPr>
            <w:tcW w:w="955" w:type="dxa"/>
            <w:vAlign w:val="center"/>
          </w:tcPr>
          <w:p w14:paraId="36CAEB28"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6,6</w:t>
            </w:r>
          </w:p>
        </w:tc>
      </w:tr>
      <w:tr w:rsidR="00715CAD" w:rsidRPr="00483C38" w14:paraId="2E32A86D" w14:textId="77777777" w:rsidTr="00226D26">
        <w:tc>
          <w:tcPr>
            <w:tcW w:w="509" w:type="dxa"/>
            <w:vAlign w:val="center"/>
          </w:tcPr>
          <w:p w14:paraId="634B91EB" w14:textId="77777777" w:rsidR="00715CAD" w:rsidRPr="00483C38" w:rsidRDefault="00715CAD" w:rsidP="00A44B6D">
            <w:pPr>
              <w:ind w:left="0" w:right="-108" w:hanging="2"/>
              <w:jc w:val="center"/>
              <w:rPr>
                <w:rFonts w:ascii="Candara" w:hAnsi="Candara"/>
                <w:sz w:val="20"/>
                <w:szCs w:val="20"/>
              </w:rPr>
            </w:pPr>
            <w:r w:rsidRPr="00483C38">
              <w:rPr>
                <w:rFonts w:ascii="Candara" w:hAnsi="Candara"/>
                <w:sz w:val="20"/>
                <w:szCs w:val="20"/>
              </w:rPr>
              <w:t>6</w:t>
            </w:r>
          </w:p>
        </w:tc>
        <w:tc>
          <w:tcPr>
            <w:tcW w:w="1652" w:type="dxa"/>
          </w:tcPr>
          <w:p w14:paraId="6529DDE7" w14:textId="0E45636A" w:rsidR="00715CAD" w:rsidRPr="00483C38" w:rsidRDefault="0061409A" w:rsidP="00A44B6D">
            <w:pPr>
              <w:tabs>
                <w:tab w:val="left" w:pos="1010"/>
              </w:tabs>
              <w:ind w:left="0" w:right="-57" w:hanging="2"/>
              <w:rPr>
                <w:rFonts w:ascii="Candara" w:hAnsi="Candara"/>
                <w:sz w:val="20"/>
                <w:szCs w:val="20"/>
              </w:rPr>
            </w:pPr>
            <w:r w:rsidRPr="00483C38">
              <w:rPr>
                <w:rFonts w:ascii="Candara" w:hAnsi="Candara"/>
                <w:sz w:val="20"/>
                <w:szCs w:val="20"/>
              </w:rPr>
              <w:t>Hematuria</w:t>
            </w:r>
          </w:p>
        </w:tc>
        <w:tc>
          <w:tcPr>
            <w:tcW w:w="1070" w:type="dxa"/>
            <w:vAlign w:val="center"/>
          </w:tcPr>
          <w:p w14:paraId="1232D896"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15</w:t>
            </w:r>
          </w:p>
        </w:tc>
        <w:tc>
          <w:tcPr>
            <w:tcW w:w="955" w:type="dxa"/>
            <w:vAlign w:val="center"/>
          </w:tcPr>
          <w:p w14:paraId="43ABBB06" w14:textId="77777777" w:rsidR="00715CAD" w:rsidRPr="00483C38" w:rsidRDefault="00715CAD" w:rsidP="00A44B6D">
            <w:pPr>
              <w:ind w:left="0" w:right="60" w:hanging="2"/>
              <w:jc w:val="center"/>
              <w:rPr>
                <w:rFonts w:ascii="Candara" w:hAnsi="Candara"/>
                <w:sz w:val="20"/>
                <w:szCs w:val="20"/>
              </w:rPr>
            </w:pPr>
            <w:r w:rsidRPr="00483C38">
              <w:rPr>
                <w:rFonts w:ascii="Candara" w:hAnsi="Candara"/>
                <w:sz w:val="20"/>
                <w:szCs w:val="20"/>
              </w:rPr>
              <w:t>5,0</w:t>
            </w:r>
          </w:p>
        </w:tc>
      </w:tr>
    </w:tbl>
    <w:p w14:paraId="0BEDCC14" w14:textId="77777777" w:rsidR="00715CAD" w:rsidRPr="00483C38" w:rsidRDefault="00715CAD" w:rsidP="00715CAD">
      <w:pPr>
        <w:spacing w:line="240" w:lineRule="auto"/>
        <w:ind w:leftChars="0" w:left="0" w:firstLineChars="0" w:firstLine="0"/>
        <w:jc w:val="both"/>
        <w:rPr>
          <w:rFonts w:ascii="Candara" w:hAnsi="Candara"/>
          <w:spacing w:val="1"/>
        </w:rPr>
      </w:pPr>
    </w:p>
    <w:p w14:paraId="1EE857E5" w14:textId="77777777" w:rsidR="009F5B64" w:rsidRPr="00483C38" w:rsidRDefault="009F5B64" w:rsidP="003B50B2">
      <w:pPr>
        <w:spacing w:line="240" w:lineRule="auto"/>
        <w:ind w:leftChars="0" w:firstLineChars="0" w:firstLine="541"/>
        <w:jc w:val="both"/>
        <w:rPr>
          <w:rFonts w:ascii="Candara" w:hAnsi="Candara"/>
          <w:spacing w:val="1"/>
        </w:rPr>
      </w:pPr>
      <w:r w:rsidRPr="00483C38">
        <w:rPr>
          <w:rFonts w:ascii="Candara" w:hAnsi="Candara"/>
          <w:spacing w:val="1"/>
        </w:rPr>
        <w:t xml:space="preserve">Table 3.2 shows that the most common types of comorbidities in urinary tract infection patients in the inpatient installation of RSU X in 2019 were hypokalemia </w:t>
      </w:r>
      <w:r w:rsidRPr="00483C38">
        <w:rPr>
          <w:rFonts w:ascii="Candara" w:hAnsi="Candara"/>
          <w:spacing w:val="1"/>
        </w:rPr>
        <w:lastRenderedPageBreak/>
        <w:t>(10.3%), followed by dyspepsia (8.7%), diabetes mellitus (7.6%), hypertension (6.6%), anemia (6.6%), hematuria (5%)</w:t>
      </w:r>
    </w:p>
    <w:p w14:paraId="713250A4" w14:textId="77777777" w:rsidR="009F5B64" w:rsidRPr="00483C38" w:rsidRDefault="009F5B64" w:rsidP="002A7668">
      <w:pPr>
        <w:spacing w:line="240" w:lineRule="auto"/>
        <w:ind w:leftChars="0" w:left="0" w:firstLineChars="0" w:firstLine="0"/>
        <w:jc w:val="both"/>
        <w:rPr>
          <w:rFonts w:ascii="Candara" w:hAnsi="Candara"/>
          <w:b/>
          <w:bCs/>
          <w:spacing w:val="1"/>
        </w:rPr>
      </w:pPr>
      <w:r w:rsidRPr="00483C38">
        <w:rPr>
          <w:rFonts w:ascii="Candara" w:hAnsi="Candara"/>
          <w:b/>
          <w:bCs/>
          <w:spacing w:val="1"/>
        </w:rPr>
        <w:t xml:space="preserve">Distribution of Antibiotic Therapy Use Profile </w:t>
      </w:r>
    </w:p>
    <w:p w14:paraId="1374E839" w14:textId="77777777" w:rsidR="00216474" w:rsidRPr="00483C38" w:rsidRDefault="00216474" w:rsidP="00216474">
      <w:pPr>
        <w:spacing w:line="240" w:lineRule="auto"/>
        <w:ind w:leftChars="0" w:firstLineChars="0" w:firstLine="541"/>
        <w:jc w:val="both"/>
        <w:rPr>
          <w:rFonts w:ascii="Candara" w:hAnsi="Candara"/>
          <w:spacing w:val="1"/>
        </w:rPr>
      </w:pPr>
    </w:p>
    <w:p w14:paraId="2DD0CCDD" w14:textId="6D7566EF" w:rsidR="009F5B64" w:rsidRPr="00483C38" w:rsidRDefault="009F5B64" w:rsidP="009F5B64">
      <w:pPr>
        <w:spacing w:line="240" w:lineRule="auto"/>
        <w:ind w:leftChars="0" w:firstLineChars="0" w:firstLine="541"/>
        <w:jc w:val="center"/>
        <w:rPr>
          <w:rFonts w:ascii="Candara" w:hAnsi="Candara"/>
          <w:b/>
          <w:bCs/>
          <w:spacing w:val="1"/>
        </w:rPr>
      </w:pPr>
      <w:r w:rsidRPr="00483C38">
        <w:rPr>
          <w:rFonts w:ascii="Candara" w:hAnsi="Candara"/>
          <w:b/>
          <w:bCs/>
          <w:spacing w:val="1"/>
        </w:rPr>
        <w:t>Table 3. Profile Distribution of Antibiotic Therapy Use in UTI Patients in RSU X Inpatient Installation in 2019</w:t>
      </w:r>
    </w:p>
    <w:tbl>
      <w:tblPr>
        <w:tblStyle w:val="TableGrid"/>
        <w:tblW w:w="0" w:type="auto"/>
        <w:jc w:val="center"/>
        <w:tblLook w:val="04A0" w:firstRow="1" w:lastRow="0" w:firstColumn="1" w:lastColumn="0" w:noHBand="0" w:noVBand="1"/>
      </w:tblPr>
      <w:tblGrid>
        <w:gridCol w:w="559"/>
        <w:gridCol w:w="1373"/>
        <w:gridCol w:w="3827"/>
        <w:gridCol w:w="1276"/>
        <w:gridCol w:w="1100"/>
      </w:tblGrid>
      <w:tr w:rsidR="00216474" w:rsidRPr="00483C38" w14:paraId="5EDFA336" w14:textId="77777777" w:rsidTr="00A44B6D">
        <w:trPr>
          <w:jc w:val="center"/>
        </w:trPr>
        <w:tc>
          <w:tcPr>
            <w:tcW w:w="559" w:type="dxa"/>
            <w:vAlign w:val="center"/>
          </w:tcPr>
          <w:p w14:paraId="77B1D587"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No.</w:t>
            </w:r>
          </w:p>
        </w:tc>
        <w:tc>
          <w:tcPr>
            <w:tcW w:w="1284" w:type="dxa"/>
            <w:vAlign w:val="center"/>
          </w:tcPr>
          <w:p w14:paraId="7C598CCF" w14:textId="0A69DAC2" w:rsidR="00216474" w:rsidRPr="00483C38" w:rsidRDefault="009F5B64" w:rsidP="00A44B6D">
            <w:pPr>
              <w:ind w:left="0" w:hanging="2"/>
              <w:jc w:val="center"/>
              <w:rPr>
                <w:rFonts w:ascii="Candara" w:hAnsi="Candara"/>
                <w:b/>
                <w:bCs/>
                <w:sz w:val="20"/>
                <w:szCs w:val="20"/>
              </w:rPr>
            </w:pPr>
            <w:r w:rsidRPr="00483C38">
              <w:rPr>
                <w:rFonts w:ascii="Candara" w:hAnsi="Candara"/>
                <w:b/>
                <w:bCs/>
                <w:sz w:val="20"/>
                <w:szCs w:val="20"/>
              </w:rPr>
              <w:t>Types of therapy</w:t>
            </w:r>
          </w:p>
        </w:tc>
        <w:tc>
          <w:tcPr>
            <w:tcW w:w="3827" w:type="dxa"/>
            <w:vAlign w:val="center"/>
          </w:tcPr>
          <w:p w14:paraId="127BC947" w14:textId="52764487" w:rsidR="00216474" w:rsidRPr="00483C38" w:rsidRDefault="009F5B64" w:rsidP="00A44B6D">
            <w:pPr>
              <w:ind w:left="0" w:hanging="2"/>
              <w:jc w:val="center"/>
              <w:rPr>
                <w:rFonts w:ascii="Candara" w:hAnsi="Candara"/>
                <w:b/>
                <w:bCs/>
                <w:sz w:val="20"/>
                <w:szCs w:val="20"/>
              </w:rPr>
            </w:pPr>
            <w:r w:rsidRPr="00483C38">
              <w:rPr>
                <w:rFonts w:ascii="Candara" w:hAnsi="Candara"/>
                <w:b/>
                <w:bCs/>
                <w:sz w:val="20"/>
                <w:szCs w:val="20"/>
              </w:rPr>
              <w:t>Drug Name</w:t>
            </w:r>
          </w:p>
        </w:tc>
        <w:tc>
          <w:tcPr>
            <w:tcW w:w="1276" w:type="dxa"/>
            <w:vAlign w:val="center"/>
          </w:tcPr>
          <w:p w14:paraId="31E567CF" w14:textId="4699E532" w:rsidR="00216474" w:rsidRPr="00483C38" w:rsidRDefault="009F5B64" w:rsidP="00A44B6D">
            <w:pPr>
              <w:ind w:left="0" w:hanging="2"/>
              <w:jc w:val="center"/>
              <w:rPr>
                <w:rFonts w:ascii="Candara" w:hAnsi="Candara"/>
                <w:b/>
                <w:bCs/>
                <w:sz w:val="20"/>
                <w:szCs w:val="20"/>
              </w:rPr>
            </w:pPr>
            <w:r w:rsidRPr="00483C38">
              <w:rPr>
                <w:rFonts w:ascii="Candara" w:hAnsi="Candara"/>
                <w:b/>
                <w:bCs/>
                <w:sz w:val="20"/>
                <w:szCs w:val="20"/>
              </w:rPr>
              <w:t xml:space="preserve">Frequency </w:t>
            </w:r>
            <w:r w:rsidR="00216474" w:rsidRPr="00483C38">
              <w:rPr>
                <w:rFonts w:ascii="Candara" w:hAnsi="Candara"/>
                <w:b/>
                <w:bCs/>
                <w:sz w:val="20"/>
                <w:szCs w:val="20"/>
              </w:rPr>
              <w:t>(n=115)</w:t>
            </w:r>
          </w:p>
        </w:tc>
        <w:tc>
          <w:tcPr>
            <w:tcW w:w="1100" w:type="dxa"/>
            <w:vAlign w:val="center"/>
          </w:tcPr>
          <w:p w14:paraId="48CC40D2"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w:t>
            </w:r>
          </w:p>
        </w:tc>
      </w:tr>
      <w:tr w:rsidR="00216474" w:rsidRPr="00483C38" w14:paraId="68F9632E" w14:textId="77777777" w:rsidTr="00A44B6D">
        <w:trPr>
          <w:trHeight w:val="516"/>
          <w:jc w:val="center"/>
        </w:trPr>
        <w:tc>
          <w:tcPr>
            <w:tcW w:w="559" w:type="dxa"/>
            <w:vMerge w:val="restart"/>
          </w:tcPr>
          <w:p w14:paraId="4485302D" w14:textId="77777777" w:rsidR="00216474" w:rsidRPr="00483C38" w:rsidRDefault="00216474" w:rsidP="00A44B6D">
            <w:pPr>
              <w:ind w:left="0" w:hanging="2"/>
              <w:rPr>
                <w:rFonts w:ascii="Candara" w:hAnsi="Candara"/>
                <w:sz w:val="20"/>
                <w:szCs w:val="20"/>
              </w:rPr>
            </w:pPr>
            <w:r w:rsidRPr="00483C38">
              <w:rPr>
                <w:rFonts w:ascii="Candara" w:hAnsi="Candara"/>
                <w:sz w:val="20"/>
                <w:szCs w:val="20"/>
              </w:rPr>
              <w:t>1.</w:t>
            </w:r>
          </w:p>
        </w:tc>
        <w:tc>
          <w:tcPr>
            <w:tcW w:w="1284" w:type="dxa"/>
            <w:vMerge w:val="restart"/>
          </w:tcPr>
          <w:p w14:paraId="4495F4DB" w14:textId="6828E533" w:rsidR="00216474" w:rsidRPr="00483C38" w:rsidRDefault="0061409A" w:rsidP="00A44B6D">
            <w:pPr>
              <w:ind w:left="0" w:hanging="2"/>
              <w:rPr>
                <w:rFonts w:ascii="Candara" w:hAnsi="Candara"/>
                <w:sz w:val="20"/>
                <w:szCs w:val="20"/>
              </w:rPr>
            </w:pPr>
            <w:r w:rsidRPr="00483C38">
              <w:rPr>
                <w:rFonts w:ascii="Candara" w:hAnsi="Candara"/>
                <w:sz w:val="20"/>
                <w:szCs w:val="20"/>
              </w:rPr>
              <w:t>Monotherapy</w:t>
            </w:r>
          </w:p>
        </w:tc>
        <w:tc>
          <w:tcPr>
            <w:tcW w:w="3827" w:type="dxa"/>
            <w:vAlign w:val="center"/>
          </w:tcPr>
          <w:p w14:paraId="47DF4C7A"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b/>
                <w:bCs/>
                <w:sz w:val="20"/>
                <w:szCs w:val="20"/>
              </w:rPr>
              <w:t>Fluorokuinolon</w:t>
            </w:r>
            <w:proofErr w:type="spellEnd"/>
          </w:p>
          <w:p w14:paraId="5C85B2C5" w14:textId="77777777" w:rsidR="00216474" w:rsidRPr="00483C38" w:rsidRDefault="00216474" w:rsidP="00A44B6D">
            <w:pPr>
              <w:ind w:left="0" w:hanging="2"/>
              <w:rPr>
                <w:rFonts w:ascii="Candara" w:hAnsi="Candara"/>
                <w:sz w:val="20"/>
                <w:szCs w:val="20"/>
              </w:rPr>
            </w:pPr>
            <w:proofErr w:type="spellStart"/>
            <w:r w:rsidRPr="00483C38">
              <w:rPr>
                <w:rFonts w:ascii="Candara" w:hAnsi="Candara"/>
                <w:sz w:val="20"/>
                <w:szCs w:val="20"/>
              </w:rPr>
              <w:t>Levofloksasin</w:t>
            </w:r>
            <w:proofErr w:type="spellEnd"/>
          </w:p>
        </w:tc>
        <w:tc>
          <w:tcPr>
            <w:tcW w:w="1276" w:type="dxa"/>
            <w:vAlign w:val="center"/>
          </w:tcPr>
          <w:p w14:paraId="1028103A" w14:textId="77777777" w:rsidR="00216474" w:rsidRPr="00483C38" w:rsidRDefault="00216474" w:rsidP="00A44B6D">
            <w:pPr>
              <w:ind w:left="0" w:hanging="2"/>
              <w:jc w:val="center"/>
              <w:rPr>
                <w:rFonts w:ascii="Candara" w:hAnsi="Candara"/>
                <w:sz w:val="20"/>
                <w:szCs w:val="20"/>
              </w:rPr>
            </w:pPr>
          </w:p>
          <w:p w14:paraId="6C0340A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34</w:t>
            </w:r>
          </w:p>
        </w:tc>
        <w:tc>
          <w:tcPr>
            <w:tcW w:w="1100" w:type="dxa"/>
            <w:vAlign w:val="center"/>
          </w:tcPr>
          <w:p w14:paraId="53D55B94" w14:textId="77777777" w:rsidR="00216474" w:rsidRPr="00483C38" w:rsidRDefault="00216474" w:rsidP="00A44B6D">
            <w:pPr>
              <w:ind w:left="0" w:hanging="2"/>
              <w:jc w:val="center"/>
              <w:rPr>
                <w:rFonts w:ascii="Candara" w:hAnsi="Candara"/>
                <w:sz w:val="20"/>
                <w:szCs w:val="20"/>
              </w:rPr>
            </w:pPr>
          </w:p>
          <w:p w14:paraId="3B272D1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29,6</w:t>
            </w:r>
          </w:p>
        </w:tc>
      </w:tr>
      <w:tr w:rsidR="00216474" w:rsidRPr="00483C38" w14:paraId="3F271948" w14:textId="77777777" w:rsidTr="00A44B6D">
        <w:trPr>
          <w:trHeight w:val="1658"/>
          <w:jc w:val="center"/>
        </w:trPr>
        <w:tc>
          <w:tcPr>
            <w:tcW w:w="559" w:type="dxa"/>
            <w:vMerge/>
          </w:tcPr>
          <w:p w14:paraId="425ED2C6" w14:textId="77777777" w:rsidR="00216474" w:rsidRPr="00483C38" w:rsidRDefault="00216474" w:rsidP="00A44B6D">
            <w:pPr>
              <w:ind w:left="0" w:hanging="2"/>
              <w:rPr>
                <w:rFonts w:ascii="Candara" w:hAnsi="Candara"/>
                <w:sz w:val="20"/>
                <w:szCs w:val="20"/>
              </w:rPr>
            </w:pPr>
          </w:p>
        </w:tc>
        <w:tc>
          <w:tcPr>
            <w:tcW w:w="1284" w:type="dxa"/>
            <w:vMerge/>
          </w:tcPr>
          <w:p w14:paraId="4AC8C175" w14:textId="77777777" w:rsidR="00216474" w:rsidRPr="00483C38" w:rsidRDefault="00216474" w:rsidP="00A44B6D">
            <w:pPr>
              <w:ind w:left="0" w:hanging="2"/>
              <w:rPr>
                <w:rFonts w:ascii="Candara" w:hAnsi="Candara"/>
                <w:sz w:val="20"/>
                <w:szCs w:val="20"/>
              </w:rPr>
            </w:pPr>
          </w:p>
        </w:tc>
        <w:tc>
          <w:tcPr>
            <w:tcW w:w="3827" w:type="dxa"/>
            <w:vAlign w:val="center"/>
          </w:tcPr>
          <w:p w14:paraId="12B282F1"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b/>
                <w:bCs/>
                <w:sz w:val="20"/>
                <w:szCs w:val="20"/>
              </w:rPr>
              <w:t>Sefalosporin</w:t>
            </w:r>
            <w:proofErr w:type="spellEnd"/>
          </w:p>
          <w:p w14:paraId="65561E6E" w14:textId="77777777" w:rsidR="00216474" w:rsidRPr="00483C38" w:rsidRDefault="00216474" w:rsidP="00A44B6D">
            <w:pPr>
              <w:ind w:left="0" w:hanging="2"/>
              <w:rPr>
                <w:rFonts w:ascii="Candara" w:hAnsi="Candara"/>
                <w:b/>
                <w:bCs/>
                <w:sz w:val="20"/>
                <w:szCs w:val="20"/>
              </w:rPr>
            </w:pPr>
            <w:r w:rsidRPr="00483C38">
              <w:rPr>
                <w:rFonts w:ascii="Candara" w:hAnsi="Candara"/>
                <w:sz w:val="20"/>
                <w:szCs w:val="20"/>
              </w:rPr>
              <w:t>Sefoperazon</w:t>
            </w:r>
          </w:p>
          <w:p w14:paraId="33DA5BB8" w14:textId="77777777" w:rsidR="00216474" w:rsidRPr="00483C38" w:rsidRDefault="00216474" w:rsidP="00A44B6D">
            <w:pPr>
              <w:ind w:left="0" w:hanging="2"/>
              <w:rPr>
                <w:rFonts w:ascii="Candara" w:hAnsi="Candara"/>
                <w:sz w:val="20"/>
                <w:szCs w:val="20"/>
              </w:rPr>
            </w:pPr>
            <w:proofErr w:type="spellStart"/>
            <w:r w:rsidRPr="00483C38">
              <w:rPr>
                <w:rFonts w:ascii="Candara" w:hAnsi="Candara"/>
                <w:sz w:val="20"/>
                <w:szCs w:val="20"/>
              </w:rPr>
              <w:t>Seftriakson</w:t>
            </w:r>
            <w:proofErr w:type="spellEnd"/>
          </w:p>
          <w:p w14:paraId="5AFD820D" w14:textId="77777777" w:rsidR="00216474" w:rsidRPr="00483C38" w:rsidRDefault="00216474" w:rsidP="00A44B6D">
            <w:pPr>
              <w:ind w:left="0" w:hanging="2"/>
              <w:rPr>
                <w:rFonts w:ascii="Candara" w:hAnsi="Candara"/>
                <w:b/>
                <w:bCs/>
                <w:sz w:val="20"/>
                <w:szCs w:val="20"/>
              </w:rPr>
            </w:pPr>
            <w:r w:rsidRPr="00483C38">
              <w:rPr>
                <w:rFonts w:ascii="Candara" w:hAnsi="Candara"/>
                <w:sz w:val="20"/>
                <w:szCs w:val="20"/>
              </w:rPr>
              <w:t xml:space="preserve">Sefoperazon + </w:t>
            </w:r>
            <w:proofErr w:type="spellStart"/>
            <w:r w:rsidRPr="00483C38">
              <w:rPr>
                <w:rFonts w:ascii="Candara" w:hAnsi="Candara"/>
                <w:sz w:val="20"/>
                <w:szCs w:val="20"/>
              </w:rPr>
              <w:t>Sulbaktam</w:t>
            </w:r>
            <w:proofErr w:type="spellEnd"/>
          </w:p>
          <w:p w14:paraId="4A730F41"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sz w:val="20"/>
                <w:szCs w:val="20"/>
              </w:rPr>
              <w:t>Sefiksim</w:t>
            </w:r>
            <w:proofErr w:type="spellEnd"/>
          </w:p>
          <w:p w14:paraId="3B1D04FC"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sz w:val="20"/>
                <w:szCs w:val="20"/>
              </w:rPr>
              <w:t>Sefepim</w:t>
            </w:r>
            <w:proofErr w:type="spellEnd"/>
          </w:p>
          <w:p w14:paraId="6354FF40"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sz w:val="20"/>
                <w:szCs w:val="20"/>
              </w:rPr>
              <w:t>Sefotaksim</w:t>
            </w:r>
            <w:proofErr w:type="spellEnd"/>
          </w:p>
        </w:tc>
        <w:tc>
          <w:tcPr>
            <w:tcW w:w="1276" w:type="dxa"/>
            <w:vAlign w:val="center"/>
          </w:tcPr>
          <w:p w14:paraId="4ED133EF" w14:textId="77777777" w:rsidR="00216474" w:rsidRPr="00483C38" w:rsidRDefault="00216474" w:rsidP="00A44B6D">
            <w:pPr>
              <w:ind w:left="0" w:hanging="2"/>
              <w:jc w:val="center"/>
              <w:rPr>
                <w:rFonts w:ascii="Candara" w:hAnsi="Candara"/>
                <w:sz w:val="20"/>
                <w:szCs w:val="20"/>
              </w:rPr>
            </w:pPr>
          </w:p>
          <w:p w14:paraId="4AC23110"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27</w:t>
            </w:r>
          </w:p>
          <w:p w14:paraId="16E11978"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24</w:t>
            </w:r>
          </w:p>
          <w:p w14:paraId="549ABE3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w:t>
            </w:r>
          </w:p>
          <w:p w14:paraId="4F80824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w:t>
            </w:r>
          </w:p>
          <w:p w14:paraId="1013858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p w14:paraId="57F6B02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00" w:type="dxa"/>
            <w:vAlign w:val="center"/>
          </w:tcPr>
          <w:p w14:paraId="2DD0009D" w14:textId="77777777" w:rsidR="00216474" w:rsidRPr="00483C38" w:rsidRDefault="00216474" w:rsidP="00A44B6D">
            <w:pPr>
              <w:ind w:left="0" w:hanging="2"/>
              <w:jc w:val="center"/>
              <w:rPr>
                <w:rFonts w:ascii="Candara" w:hAnsi="Candara"/>
                <w:sz w:val="20"/>
                <w:szCs w:val="20"/>
              </w:rPr>
            </w:pPr>
          </w:p>
          <w:p w14:paraId="1FB44EF8"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23,5</w:t>
            </w:r>
          </w:p>
          <w:p w14:paraId="634641F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20,9</w:t>
            </w:r>
          </w:p>
          <w:p w14:paraId="195D20E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5,2</w:t>
            </w:r>
          </w:p>
          <w:p w14:paraId="24C33F8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1,7</w:t>
            </w:r>
          </w:p>
          <w:p w14:paraId="7168746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0,9</w:t>
            </w:r>
          </w:p>
          <w:p w14:paraId="4F45ADB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0,9</w:t>
            </w:r>
          </w:p>
        </w:tc>
      </w:tr>
      <w:tr w:rsidR="00216474" w:rsidRPr="00483C38" w14:paraId="4E26BAEF" w14:textId="77777777" w:rsidTr="00A44B6D">
        <w:trPr>
          <w:trHeight w:val="516"/>
          <w:jc w:val="center"/>
        </w:trPr>
        <w:tc>
          <w:tcPr>
            <w:tcW w:w="559" w:type="dxa"/>
            <w:vMerge/>
          </w:tcPr>
          <w:p w14:paraId="5A01AF07" w14:textId="77777777" w:rsidR="00216474" w:rsidRPr="00483C38" w:rsidRDefault="00216474" w:rsidP="00A44B6D">
            <w:pPr>
              <w:ind w:left="0" w:hanging="2"/>
              <w:rPr>
                <w:rFonts w:ascii="Candara" w:hAnsi="Candara"/>
                <w:sz w:val="20"/>
                <w:szCs w:val="20"/>
              </w:rPr>
            </w:pPr>
          </w:p>
        </w:tc>
        <w:tc>
          <w:tcPr>
            <w:tcW w:w="1284" w:type="dxa"/>
            <w:vMerge/>
          </w:tcPr>
          <w:p w14:paraId="0DA49183" w14:textId="77777777" w:rsidR="00216474" w:rsidRPr="00483C38" w:rsidRDefault="00216474" w:rsidP="00A44B6D">
            <w:pPr>
              <w:ind w:left="0" w:hanging="2"/>
              <w:rPr>
                <w:rFonts w:ascii="Candara" w:hAnsi="Candara"/>
                <w:sz w:val="20"/>
                <w:szCs w:val="20"/>
              </w:rPr>
            </w:pPr>
          </w:p>
        </w:tc>
        <w:tc>
          <w:tcPr>
            <w:tcW w:w="3827" w:type="dxa"/>
            <w:vAlign w:val="center"/>
          </w:tcPr>
          <w:p w14:paraId="7D6F0CA1"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b/>
                <w:bCs/>
                <w:sz w:val="20"/>
                <w:szCs w:val="20"/>
              </w:rPr>
              <w:t>Penisilin</w:t>
            </w:r>
            <w:proofErr w:type="spellEnd"/>
          </w:p>
          <w:p w14:paraId="2844659D" w14:textId="77777777" w:rsidR="00216474" w:rsidRPr="00483C38" w:rsidRDefault="00216474" w:rsidP="00A44B6D">
            <w:pPr>
              <w:ind w:left="0" w:hanging="2"/>
              <w:rPr>
                <w:rFonts w:ascii="Candara" w:hAnsi="Candara"/>
                <w:sz w:val="20"/>
                <w:szCs w:val="20"/>
              </w:rPr>
            </w:pPr>
            <w:proofErr w:type="spellStart"/>
            <w:r w:rsidRPr="00483C38">
              <w:rPr>
                <w:rFonts w:ascii="Candara" w:hAnsi="Candara"/>
                <w:sz w:val="20"/>
                <w:szCs w:val="20"/>
              </w:rPr>
              <w:t>Amoksisilin</w:t>
            </w:r>
            <w:proofErr w:type="spellEnd"/>
            <w:r w:rsidRPr="00483C38">
              <w:rPr>
                <w:rFonts w:ascii="Candara" w:hAnsi="Candara"/>
                <w:sz w:val="20"/>
                <w:szCs w:val="20"/>
              </w:rPr>
              <w:t xml:space="preserve"> + </w:t>
            </w:r>
            <w:proofErr w:type="spellStart"/>
            <w:r w:rsidRPr="00483C38">
              <w:rPr>
                <w:rFonts w:ascii="Candara" w:hAnsi="Candara"/>
                <w:sz w:val="20"/>
                <w:szCs w:val="20"/>
              </w:rPr>
              <w:t>klavulanat</w:t>
            </w:r>
            <w:proofErr w:type="spellEnd"/>
          </w:p>
          <w:p w14:paraId="62FB0BE1"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sz w:val="20"/>
                <w:szCs w:val="20"/>
              </w:rPr>
              <w:t>Ampisilin</w:t>
            </w:r>
            <w:proofErr w:type="spellEnd"/>
            <w:r w:rsidRPr="00483C38">
              <w:rPr>
                <w:rFonts w:ascii="Candara" w:hAnsi="Candara"/>
                <w:sz w:val="20"/>
                <w:szCs w:val="20"/>
              </w:rPr>
              <w:t xml:space="preserve"> + </w:t>
            </w:r>
            <w:proofErr w:type="spellStart"/>
            <w:r w:rsidRPr="00483C38">
              <w:rPr>
                <w:rFonts w:ascii="Candara" w:hAnsi="Candara"/>
                <w:sz w:val="20"/>
                <w:szCs w:val="20"/>
              </w:rPr>
              <w:t>Sulbaktam</w:t>
            </w:r>
            <w:proofErr w:type="spellEnd"/>
          </w:p>
        </w:tc>
        <w:tc>
          <w:tcPr>
            <w:tcW w:w="1276" w:type="dxa"/>
            <w:vAlign w:val="center"/>
          </w:tcPr>
          <w:p w14:paraId="54039A64" w14:textId="77777777" w:rsidR="00216474" w:rsidRPr="00483C38" w:rsidRDefault="00216474" w:rsidP="00A44B6D">
            <w:pPr>
              <w:ind w:left="0" w:hanging="2"/>
              <w:jc w:val="center"/>
              <w:rPr>
                <w:rFonts w:ascii="Candara" w:hAnsi="Candara"/>
                <w:sz w:val="20"/>
                <w:szCs w:val="20"/>
              </w:rPr>
            </w:pPr>
          </w:p>
          <w:p w14:paraId="2946DE7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10</w:t>
            </w:r>
          </w:p>
          <w:p w14:paraId="1ED284C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00" w:type="dxa"/>
            <w:vAlign w:val="center"/>
          </w:tcPr>
          <w:p w14:paraId="0D3BB90E" w14:textId="77777777" w:rsidR="00216474" w:rsidRPr="00483C38" w:rsidRDefault="00216474" w:rsidP="00A44B6D">
            <w:pPr>
              <w:ind w:left="0" w:hanging="2"/>
              <w:jc w:val="center"/>
              <w:rPr>
                <w:rFonts w:ascii="Candara" w:hAnsi="Candara"/>
                <w:sz w:val="20"/>
                <w:szCs w:val="20"/>
              </w:rPr>
            </w:pPr>
          </w:p>
          <w:p w14:paraId="473718D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8,7</w:t>
            </w:r>
          </w:p>
          <w:p w14:paraId="27C1BAC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0,9</w:t>
            </w:r>
          </w:p>
        </w:tc>
      </w:tr>
      <w:tr w:rsidR="00216474" w:rsidRPr="00483C38" w14:paraId="7F2489D0" w14:textId="77777777" w:rsidTr="00A44B6D">
        <w:trPr>
          <w:trHeight w:val="206"/>
          <w:jc w:val="center"/>
        </w:trPr>
        <w:tc>
          <w:tcPr>
            <w:tcW w:w="559" w:type="dxa"/>
            <w:vMerge/>
          </w:tcPr>
          <w:p w14:paraId="3EDE3279" w14:textId="77777777" w:rsidR="00216474" w:rsidRPr="00483C38" w:rsidRDefault="00216474" w:rsidP="00A44B6D">
            <w:pPr>
              <w:ind w:left="0" w:hanging="2"/>
              <w:rPr>
                <w:rFonts w:ascii="Candara" w:hAnsi="Candara"/>
                <w:sz w:val="20"/>
                <w:szCs w:val="20"/>
              </w:rPr>
            </w:pPr>
          </w:p>
        </w:tc>
        <w:tc>
          <w:tcPr>
            <w:tcW w:w="1284" w:type="dxa"/>
            <w:vMerge/>
          </w:tcPr>
          <w:p w14:paraId="6D432904" w14:textId="77777777" w:rsidR="00216474" w:rsidRPr="00483C38" w:rsidRDefault="00216474" w:rsidP="00A44B6D">
            <w:pPr>
              <w:ind w:left="0" w:hanging="2"/>
              <w:rPr>
                <w:rFonts w:ascii="Candara" w:hAnsi="Candara"/>
                <w:sz w:val="20"/>
                <w:szCs w:val="20"/>
              </w:rPr>
            </w:pPr>
          </w:p>
        </w:tc>
        <w:tc>
          <w:tcPr>
            <w:tcW w:w="3827" w:type="dxa"/>
            <w:vAlign w:val="center"/>
          </w:tcPr>
          <w:p w14:paraId="44896F38"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b/>
                <w:bCs/>
                <w:sz w:val="20"/>
                <w:szCs w:val="20"/>
              </w:rPr>
              <w:t>Karbapenem</w:t>
            </w:r>
            <w:proofErr w:type="spellEnd"/>
          </w:p>
          <w:p w14:paraId="677C9F6B" w14:textId="77777777" w:rsidR="00216474" w:rsidRPr="00483C38" w:rsidRDefault="00216474" w:rsidP="00A44B6D">
            <w:pPr>
              <w:ind w:left="0" w:hanging="2"/>
              <w:rPr>
                <w:rFonts w:ascii="Candara" w:hAnsi="Candara"/>
                <w:sz w:val="20"/>
                <w:szCs w:val="20"/>
              </w:rPr>
            </w:pPr>
            <w:r w:rsidRPr="00483C38">
              <w:rPr>
                <w:rFonts w:ascii="Candara" w:hAnsi="Candara"/>
                <w:sz w:val="20"/>
                <w:szCs w:val="20"/>
              </w:rPr>
              <w:t>Meropenem</w:t>
            </w:r>
          </w:p>
        </w:tc>
        <w:tc>
          <w:tcPr>
            <w:tcW w:w="1276" w:type="dxa"/>
            <w:vAlign w:val="center"/>
          </w:tcPr>
          <w:p w14:paraId="32FCB12D" w14:textId="77777777" w:rsidR="00216474" w:rsidRPr="00483C38" w:rsidRDefault="00216474" w:rsidP="00A44B6D">
            <w:pPr>
              <w:ind w:left="0" w:hanging="2"/>
              <w:jc w:val="center"/>
              <w:rPr>
                <w:rFonts w:ascii="Candara" w:hAnsi="Candara"/>
                <w:sz w:val="20"/>
                <w:szCs w:val="20"/>
              </w:rPr>
            </w:pPr>
          </w:p>
          <w:p w14:paraId="2325D50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w:t>
            </w:r>
          </w:p>
        </w:tc>
        <w:tc>
          <w:tcPr>
            <w:tcW w:w="1100" w:type="dxa"/>
            <w:vAlign w:val="center"/>
          </w:tcPr>
          <w:p w14:paraId="7D69500A" w14:textId="77777777" w:rsidR="00216474" w:rsidRPr="00483C38" w:rsidRDefault="00216474" w:rsidP="00A44B6D">
            <w:pPr>
              <w:ind w:left="0" w:hanging="2"/>
              <w:jc w:val="center"/>
              <w:rPr>
                <w:rFonts w:ascii="Candara" w:hAnsi="Candara"/>
                <w:sz w:val="20"/>
                <w:szCs w:val="20"/>
              </w:rPr>
            </w:pPr>
          </w:p>
          <w:p w14:paraId="4C30972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2,6</w:t>
            </w:r>
          </w:p>
        </w:tc>
      </w:tr>
      <w:tr w:rsidR="00216474" w:rsidRPr="00483C38" w14:paraId="3BB00A6E" w14:textId="77777777" w:rsidTr="00A44B6D">
        <w:trPr>
          <w:trHeight w:val="185"/>
          <w:jc w:val="center"/>
        </w:trPr>
        <w:tc>
          <w:tcPr>
            <w:tcW w:w="559" w:type="dxa"/>
            <w:vMerge/>
          </w:tcPr>
          <w:p w14:paraId="37C7E30E" w14:textId="77777777" w:rsidR="00216474" w:rsidRPr="00483C38" w:rsidRDefault="00216474" w:rsidP="00A44B6D">
            <w:pPr>
              <w:ind w:left="0" w:hanging="2"/>
              <w:rPr>
                <w:rFonts w:ascii="Candara" w:hAnsi="Candara"/>
                <w:sz w:val="20"/>
                <w:szCs w:val="20"/>
              </w:rPr>
            </w:pPr>
          </w:p>
        </w:tc>
        <w:tc>
          <w:tcPr>
            <w:tcW w:w="1284" w:type="dxa"/>
            <w:vMerge/>
          </w:tcPr>
          <w:p w14:paraId="0A5E588C" w14:textId="77777777" w:rsidR="00216474" w:rsidRPr="00483C38" w:rsidRDefault="00216474" w:rsidP="00A44B6D">
            <w:pPr>
              <w:ind w:left="0" w:hanging="2"/>
              <w:rPr>
                <w:rFonts w:ascii="Candara" w:hAnsi="Candara"/>
                <w:sz w:val="20"/>
                <w:szCs w:val="20"/>
              </w:rPr>
            </w:pPr>
          </w:p>
        </w:tc>
        <w:tc>
          <w:tcPr>
            <w:tcW w:w="3827" w:type="dxa"/>
            <w:vAlign w:val="center"/>
          </w:tcPr>
          <w:p w14:paraId="607798C5"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b/>
                <w:bCs/>
                <w:sz w:val="20"/>
                <w:szCs w:val="20"/>
              </w:rPr>
              <w:t>Golongan</w:t>
            </w:r>
            <w:proofErr w:type="spellEnd"/>
            <w:r w:rsidRPr="00483C38">
              <w:rPr>
                <w:rFonts w:ascii="Candara" w:hAnsi="Candara"/>
                <w:b/>
                <w:bCs/>
                <w:sz w:val="20"/>
                <w:szCs w:val="20"/>
              </w:rPr>
              <w:t xml:space="preserve"> Lain</w:t>
            </w:r>
          </w:p>
          <w:p w14:paraId="672CBA52" w14:textId="77777777" w:rsidR="00216474" w:rsidRPr="00483C38" w:rsidRDefault="00216474" w:rsidP="00A44B6D">
            <w:pPr>
              <w:ind w:left="0" w:hanging="2"/>
              <w:rPr>
                <w:rFonts w:ascii="Candara" w:hAnsi="Candara"/>
                <w:sz w:val="20"/>
                <w:szCs w:val="20"/>
              </w:rPr>
            </w:pPr>
            <w:proofErr w:type="spellStart"/>
            <w:r w:rsidRPr="00483C38">
              <w:rPr>
                <w:rFonts w:ascii="Candara" w:hAnsi="Candara"/>
                <w:sz w:val="20"/>
                <w:szCs w:val="20"/>
              </w:rPr>
              <w:t>Fosfomisin</w:t>
            </w:r>
            <w:proofErr w:type="spellEnd"/>
          </w:p>
        </w:tc>
        <w:tc>
          <w:tcPr>
            <w:tcW w:w="1276" w:type="dxa"/>
            <w:vAlign w:val="center"/>
          </w:tcPr>
          <w:p w14:paraId="39F4C630" w14:textId="77777777" w:rsidR="00216474" w:rsidRPr="00483C38" w:rsidRDefault="00216474" w:rsidP="00A44B6D">
            <w:pPr>
              <w:ind w:left="0" w:hanging="2"/>
              <w:jc w:val="center"/>
              <w:rPr>
                <w:rFonts w:ascii="Candara" w:hAnsi="Candara"/>
                <w:sz w:val="20"/>
                <w:szCs w:val="20"/>
              </w:rPr>
            </w:pPr>
          </w:p>
          <w:p w14:paraId="7E63F69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w:t>
            </w:r>
          </w:p>
        </w:tc>
        <w:tc>
          <w:tcPr>
            <w:tcW w:w="1100" w:type="dxa"/>
            <w:vAlign w:val="center"/>
          </w:tcPr>
          <w:p w14:paraId="5BF76F1F" w14:textId="77777777" w:rsidR="00216474" w:rsidRPr="00483C38" w:rsidRDefault="00216474" w:rsidP="00A44B6D">
            <w:pPr>
              <w:ind w:left="0" w:hanging="2"/>
              <w:jc w:val="center"/>
              <w:rPr>
                <w:rFonts w:ascii="Candara" w:hAnsi="Candara"/>
                <w:sz w:val="20"/>
                <w:szCs w:val="20"/>
              </w:rPr>
            </w:pPr>
          </w:p>
          <w:p w14:paraId="3E6ECCB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1,7</w:t>
            </w:r>
          </w:p>
        </w:tc>
      </w:tr>
      <w:tr w:rsidR="00216474" w:rsidRPr="00483C38" w14:paraId="1728BDD0" w14:textId="77777777" w:rsidTr="00A44B6D">
        <w:trPr>
          <w:jc w:val="center"/>
        </w:trPr>
        <w:tc>
          <w:tcPr>
            <w:tcW w:w="5670" w:type="dxa"/>
            <w:gridSpan w:val="3"/>
            <w:vAlign w:val="center"/>
          </w:tcPr>
          <w:p w14:paraId="6B8CED28"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Total</w:t>
            </w:r>
          </w:p>
        </w:tc>
        <w:tc>
          <w:tcPr>
            <w:tcW w:w="1276" w:type="dxa"/>
            <w:vAlign w:val="center"/>
          </w:tcPr>
          <w:p w14:paraId="18731783"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111</w:t>
            </w:r>
          </w:p>
        </w:tc>
        <w:tc>
          <w:tcPr>
            <w:tcW w:w="1100" w:type="dxa"/>
            <w:vAlign w:val="center"/>
          </w:tcPr>
          <w:p w14:paraId="1259B95C"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96,6</w:t>
            </w:r>
          </w:p>
        </w:tc>
      </w:tr>
      <w:tr w:rsidR="00216474" w:rsidRPr="00483C38" w14:paraId="3383C192" w14:textId="77777777" w:rsidTr="00A44B6D">
        <w:trPr>
          <w:trHeight w:val="307"/>
          <w:jc w:val="center"/>
        </w:trPr>
        <w:tc>
          <w:tcPr>
            <w:tcW w:w="559" w:type="dxa"/>
            <w:vMerge w:val="restart"/>
          </w:tcPr>
          <w:p w14:paraId="1106A1AB" w14:textId="77777777" w:rsidR="00216474" w:rsidRPr="00483C38" w:rsidRDefault="00216474" w:rsidP="00A44B6D">
            <w:pPr>
              <w:ind w:left="0" w:hanging="2"/>
              <w:rPr>
                <w:rFonts w:ascii="Candara" w:hAnsi="Candara"/>
                <w:sz w:val="20"/>
                <w:szCs w:val="20"/>
              </w:rPr>
            </w:pPr>
            <w:r w:rsidRPr="00483C38">
              <w:rPr>
                <w:rFonts w:ascii="Candara" w:hAnsi="Candara"/>
                <w:sz w:val="20"/>
                <w:szCs w:val="20"/>
              </w:rPr>
              <w:t>2.</w:t>
            </w:r>
          </w:p>
        </w:tc>
        <w:tc>
          <w:tcPr>
            <w:tcW w:w="1284" w:type="dxa"/>
            <w:vMerge w:val="restart"/>
          </w:tcPr>
          <w:p w14:paraId="4674CD13" w14:textId="6D066D88" w:rsidR="00216474" w:rsidRPr="00483C38" w:rsidRDefault="0061409A" w:rsidP="00A44B6D">
            <w:pPr>
              <w:ind w:left="0" w:hanging="2"/>
              <w:rPr>
                <w:rFonts w:ascii="Candara" w:hAnsi="Candara"/>
                <w:sz w:val="20"/>
                <w:szCs w:val="20"/>
              </w:rPr>
            </w:pPr>
            <w:r w:rsidRPr="00483C38">
              <w:rPr>
                <w:rFonts w:ascii="Candara" w:hAnsi="Candara"/>
                <w:sz w:val="20"/>
                <w:szCs w:val="20"/>
              </w:rPr>
              <w:t>Combination</w:t>
            </w:r>
          </w:p>
        </w:tc>
        <w:tc>
          <w:tcPr>
            <w:tcW w:w="3827" w:type="dxa"/>
            <w:vAlign w:val="center"/>
          </w:tcPr>
          <w:p w14:paraId="09EC3556"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b/>
                <w:bCs/>
                <w:sz w:val="20"/>
                <w:szCs w:val="20"/>
              </w:rPr>
              <w:t>Penisilin</w:t>
            </w:r>
            <w:proofErr w:type="spellEnd"/>
            <w:r w:rsidRPr="00483C38">
              <w:rPr>
                <w:rFonts w:ascii="Candara" w:hAnsi="Candara"/>
                <w:b/>
                <w:bCs/>
                <w:sz w:val="20"/>
                <w:szCs w:val="20"/>
              </w:rPr>
              <w:t xml:space="preserve"> +</w:t>
            </w:r>
            <w:proofErr w:type="spellStart"/>
            <w:r w:rsidRPr="00483C38">
              <w:rPr>
                <w:rFonts w:ascii="Candara" w:hAnsi="Candara"/>
                <w:b/>
                <w:bCs/>
                <w:sz w:val="20"/>
                <w:szCs w:val="20"/>
              </w:rPr>
              <w:t>Fluorokuinolon</w:t>
            </w:r>
            <w:proofErr w:type="spellEnd"/>
          </w:p>
          <w:p w14:paraId="45C6D924" w14:textId="77777777" w:rsidR="00216474" w:rsidRPr="00483C38" w:rsidRDefault="00216474" w:rsidP="00A44B6D">
            <w:pPr>
              <w:ind w:left="0" w:hanging="2"/>
              <w:rPr>
                <w:rFonts w:ascii="Candara" w:hAnsi="Candara"/>
                <w:sz w:val="20"/>
                <w:szCs w:val="20"/>
              </w:rPr>
            </w:pPr>
            <w:r w:rsidRPr="00483C38">
              <w:rPr>
                <w:rFonts w:ascii="Candara" w:hAnsi="Candara"/>
                <w:sz w:val="20"/>
                <w:szCs w:val="20"/>
              </w:rPr>
              <w:t>(</w:t>
            </w:r>
            <w:proofErr w:type="spellStart"/>
            <w:r w:rsidRPr="00483C38">
              <w:rPr>
                <w:rFonts w:ascii="Candara" w:hAnsi="Candara"/>
                <w:sz w:val="20"/>
                <w:szCs w:val="20"/>
              </w:rPr>
              <w:t>Amoksisilin</w:t>
            </w:r>
            <w:proofErr w:type="spellEnd"/>
            <w:r w:rsidRPr="00483C38">
              <w:rPr>
                <w:rFonts w:ascii="Candara" w:hAnsi="Candara"/>
                <w:sz w:val="20"/>
                <w:szCs w:val="20"/>
              </w:rPr>
              <w:t xml:space="preserve"> + </w:t>
            </w:r>
            <w:proofErr w:type="spellStart"/>
            <w:r w:rsidRPr="00483C38">
              <w:rPr>
                <w:rFonts w:ascii="Candara" w:hAnsi="Candara"/>
                <w:sz w:val="20"/>
                <w:szCs w:val="20"/>
              </w:rPr>
              <w:t>klavulanat</w:t>
            </w:r>
            <w:proofErr w:type="spellEnd"/>
            <w:r w:rsidRPr="00483C38">
              <w:rPr>
                <w:rFonts w:ascii="Candara" w:hAnsi="Candara"/>
                <w:sz w:val="20"/>
                <w:szCs w:val="20"/>
              </w:rPr>
              <w:t xml:space="preserve">) + </w:t>
            </w:r>
            <w:proofErr w:type="spellStart"/>
            <w:r w:rsidRPr="00483C38">
              <w:rPr>
                <w:rFonts w:ascii="Candara" w:hAnsi="Candara"/>
                <w:sz w:val="20"/>
                <w:szCs w:val="20"/>
              </w:rPr>
              <w:t>Levofloksasin</w:t>
            </w:r>
            <w:proofErr w:type="spellEnd"/>
          </w:p>
        </w:tc>
        <w:tc>
          <w:tcPr>
            <w:tcW w:w="1276" w:type="dxa"/>
            <w:vAlign w:val="center"/>
          </w:tcPr>
          <w:p w14:paraId="78851D0E" w14:textId="77777777" w:rsidR="00216474" w:rsidRPr="00483C38" w:rsidRDefault="00216474" w:rsidP="00A44B6D">
            <w:pPr>
              <w:ind w:left="0" w:hanging="2"/>
              <w:jc w:val="center"/>
              <w:rPr>
                <w:rFonts w:ascii="Candara" w:hAnsi="Candara"/>
                <w:sz w:val="20"/>
                <w:szCs w:val="20"/>
              </w:rPr>
            </w:pPr>
          </w:p>
          <w:p w14:paraId="25B8A04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w:t>
            </w:r>
          </w:p>
        </w:tc>
        <w:tc>
          <w:tcPr>
            <w:tcW w:w="1100" w:type="dxa"/>
            <w:vAlign w:val="center"/>
          </w:tcPr>
          <w:p w14:paraId="36E9260C" w14:textId="77777777" w:rsidR="00216474" w:rsidRPr="00483C38" w:rsidRDefault="00216474" w:rsidP="00A44B6D">
            <w:pPr>
              <w:ind w:left="0" w:hanging="2"/>
              <w:jc w:val="center"/>
              <w:rPr>
                <w:rFonts w:ascii="Candara" w:hAnsi="Candara"/>
                <w:sz w:val="20"/>
                <w:szCs w:val="20"/>
              </w:rPr>
            </w:pPr>
          </w:p>
          <w:p w14:paraId="29656FE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1,7</w:t>
            </w:r>
          </w:p>
        </w:tc>
      </w:tr>
      <w:tr w:rsidR="00216474" w:rsidRPr="00483C38" w14:paraId="457AD4AD" w14:textId="77777777" w:rsidTr="00A44B6D">
        <w:trPr>
          <w:trHeight w:val="270"/>
          <w:jc w:val="center"/>
        </w:trPr>
        <w:tc>
          <w:tcPr>
            <w:tcW w:w="559" w:type="dxa"/>
            <w:vMerge/>
          </w:tcPr>
          <w:p w14:paraId="60A5DC26" w14:textId="77777777" w:rsidR="00216474" w:rsidRPr="00483C38" w:rsidRDefault="00216474" w:rsidP="00A44B6D">
            <w:pPr>
              <w:ind w:left="0" w:hanging="2"/>
              <w:rPr>
                <w:rFonts w:ascii="Candara" w:hAnsi="Candara"/>
                <w:sz w:val="20"/>
                <w:szCs w:val="20"/>
              </w:rPr>
            </w:pPr>
          </w:p>
        </w:tc>
        <w:tc>
          <w:tcPr>
            <w:tcW w:w="1284" w:type="dxa"/>
            <w:vMerge/>
          </w:tcPr>
          <w:p w14:paraId="55FB7D0A" w14:textId="77777777" w:rsidR="00216474" w:rsidRPr="00483C38" w:rsidRDefault="00216474" w:rsidP="00A44B6D">
            <w:pPr>
              <w:ind w:left="0" w:hanging="2"/>
              <w:rPr>
                <w:rFonts w:ascii="Candara" w:hAnsi="Candara"/>
                <w:sz w:val="20"/>
                <w:szCs w:val="20"/>
              </w:rPr>
            </w:pPr>
          </w:p>
        </w:tc>
        <w:tc>
          <w:tcPr>
            <w:tcW w:w="3827" w:type="dxa"/>
            <w:vAlign w:val="center"/>
          </w:tcPr>
          <w:p w14:paraId="2BF8BD4E"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b/>
                <w:bCs/>
                <w:sz w:val="20"/>
                <w:szCs w:val="20"/>
              </w:rPr>
              <w:t>Fluorokuinolon</w:t>
            </w:r>
            <w:proofErr w:type="spellEnd"/>
            <w:r w:rsidRPr="00483C38">
              <w:rPr>
                <w:rFonts w:ascii="Candara" w:hAnsi="Candara"/>
                <w:b/>
                <w:bCs/>
                <w:sz w:val="20"/>
                <w:szCs w:val="20"/>
              </w:rPr>
              <w:t xml:space="preserve"> + </w:t>
            </w:r>
            <w:proofErr w:type="spellStart"/>
            <w:r w:rsidRPr="00483C38">
              <w:rPr>
                <w:rFonts w:ascii="Candara" w:hAnsi="Candara"/>
                <w:b/>
                <w:bCs/>
                <w:sz w:val="20"/>
                <w:szCs w:val="20"/>
              </w:rPr>
              <w:t>Sefalosporin</w:t>
            </w:r>
            <w:proofErr w:type="spellEnd"/>
          </w:p>
          <w:p w14:paraId="0083168E" w14:textId="77777777" w:rsidR="00216474" w:rsidRPr="00483C38" w:rsidRDefault="00216474" w:rsidP="00A44B6D">
            <w:pPr>
              <w:ind w:left="0" w:hanging="2"/>
              <w:rPr>
                <w:rFonts w:ascii="Candara" w:hAnsi="Candara"/>
                <w:b/>
                <w:bCs/>
                <w:sz w:val="20"/>
                <w:szCs w:val="20"/>
              </w:rPr>
            </w:pPr>
            <w:proofErr w:type="spellStart"/>
            <w:r w:rsidRPr="00483C38">
              <w:rPr>
                <w:rFonts w:ascii="Candara" w:hAnsi="Candara"/>
                <w:sz w:val="20"/>
                <w:szCs w:val="20"/>
              </w:rPr>
              <w:t>Levofloksasin</w:t>
            </w:r>
            <w:proofErr w:type="spellEnd"/>
            <w:r w:rsidRPr="00483C38">
              <w:rPr>
                <w:rFonts w:ascii="Candara" w:hAnsi="Candara"/>
                <w:sz w:val="20"/>
                <w:szCs w:val="20"/>
              </w:rPr>
              <w:t xml:space="preserve"> + </w:t>
            </w:r>
            <w:proofErr w:type="spellStart"/>
            <w:r w:rsidRPr="00483C38">
              <w:rPr>
                <w:rFonts w:ascii="Candara" w:hAnsi="Candara"/>
                <w:sz w:val="20"/>
                <w:szCs w:val="20"/>
              </w:rPr>
              <w:t>Seftriakson</w:t>
            </w:r>
            <w:proofErr w:type="spellEnd"/>
          </w:p>
        </w:tc>
        <w:tc>
          <w:tcPr>
            <w:tcW w:w="1276" w:type="dxa"/>
            <w:vAlign w:val="center"/>
          </w:tcPr>
          <w:p w14:paraId="4005086C" w14:textId="77777777" w:rsidR="00216474" w:rsidRPr="00483C38" w:rsidRDefault="00216474" w:rsidP="00A44B6D">
            <w:pPr>
              <w:ind w:left="0" w:hanging="2"/>
              <w:jc w:val="center"/>
              <w:rPr>
                <w:rFonts w:ascii="Candara" w:hAnsi="Candara"/>
                <w:sz w:val="20"/>
                <w:szCs w:val="20"/>
              </w:rPr>
            </w:pPr>
          </w:p>
          <w:p w14:paraId="1C20F1F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w:t>
            </w:r>
          </w:p>
        </w:tc>
        <w:tc>
          <w:tcPr>
            <w:tcW w:w="1100" w:type="dxa"/>
            <w:vAlign w:val="center"/>
          </w:tcPr>
          <w:p w14:paraId="36EFC17D" w14:textId="77777777" w:rsidR="00216474" w:rsidRPr="00483C38" w:rsidRDefault="00216474" w:rsidP="00A44B6D">
            <w:pPr>
              <w:ind w:left="0" w:hanging="2"/>
              <w:jc w:val="center"/>
              <w:rPr>
                <w:rFonts w:ascii="Candara" w:hAnsi="Candara"/>
                <w:sz w:val="20"/>
                <w:szCs w:val="20"/>
              </w:rPr>
            </w:pPr>
          </w:p>
          <w:p w14:paraId="26DE9EB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1,7</w:t>
            </w:r>
          </w:p>
        </w:tc>
      </w:tr>
      <w:tr w:rsidR="00216474" w:rsidRPr="00483C38" w14:paraId="7BABC3AC" w14:textId="77777777" w:rsidTr="00A44B6D">
        <w:trPr>
          <w:jc w:val="center"/>
        </w:trPr>
        <w:tc>
          <w:tcPr>
            <w:tcW w:w="5670" w:type="dxa"/>
            <w:gridSpan w:val="3"/>
            <w:vAlign w:val="center"/>
          </w:tcPr>
          <w:p w14:paraId="143DCBAA"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Total</w:t>
            </w:r>
          </w:p>
        </w:tc>
        <w:tc>
          <w:tcPr>
            <w:tcW w:w="1276" w:type="dxa"/>
            <w:vAlign w:val="center"/>
          </w:tcPr>
          <w:p w14:paraId="21BAF1EE"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4</w:t>
            </w:r>
          </w:p>
        </w:tc>
        <w:tc>
          <w:tcPr>
            <w:tcW w:w="1100" w:type="dxa"/>
            <w:vAlign w:val="center"/>
          </w:tcPr>
          <w:p w14:paraId="1BE001A4"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3,4</w:t>
            </w:r>
          </w:p>
        </w:tc>
      </w:tr>
    </w:tbl>
    <w:p w14:paraId="51852AA7" w14:textId="77777777" w:rsidR="00220215" w:rsidRPr="00483C38" w:rsidRDefault="00220215" w:rsidP="00713EE3">
      <w:pPr>
        <w:spacing w:line="240" w:lineRule="auto"/>
        <w:ind w:leftChars="0" w:firstLineChars="0" w:firstLine="541"/>
        <w:jc w:val="both"/>
        <w:rPr>
          <w:rFonts w:ascii="Candara" w:hAnsi="Candara"/>
          <w:spacing w:val="1"/>
        </w:rPr>
      </w:pPr>
    </w:p>
    <w:p w14:paraId="172AD9DC" w14:textId="77777777" w:rsidR="0061409A" w:rsidRPr="00483C38" w:rsidRDefault="0061409A" w:rsidP="00937EA2">
      <w:pPr>
        <w:spacing w:line="240" w:lineRule="auto"/>
        <w:ind w:leftChars="0" w:firstLineChars="0" w:firstLine="541"/>
        <w:jc w:val="both"/>
        <w:rPr>
          <w:rFonts w:ascii="Candara" w:hAnsi="Candara"/>
          <w:spacing w:val="1"/>
        </w:rPr>
      </w:pPr>
      <w:r w:rsidRPr="00483C38">
        <w:rPr>
          <w:rFonts w:ascii="Candara" w:hAnsi="Candara"/>
          <w:spacing w:val="1"/>
        </w:rPr>
        <w:t xml:space="preserve">Table 3.3 shows that antibiotic use is grouped based on the type of therapy received by patients, where as many as 96.6% of urinary tract infection patients received monotherapy and 3.4% of patients received combination therapy. The most widely prescribed antibiotic as monotherapy was levofloxacin (29.6%), followed by </w:t>
      </w:r>
      <w:proofErr w:type="spellStart"/>
      <w:r w:rsidRPr="00483C38">
        <w:rPr>
          <w:rFonts w:ascii="Candara" w:hAnsi="Candara"/>
          <w:spacing w:val="1"/>
        </w:rPr>
        <w:t>cefoperazon</w:t>
      </w:r>
      <w:proofErr w:type="spellEnd"/>
      <w:r w:rsidRPr="00483C38">
        <w:rPr>
          <w:rFonts w:ascii="Candara" w:hAnsi="Candara"/>
          <w:spacing w:val="1"/>
        </w:rPr>
        <w:t xml:space="preserve"> (23.5%), ceftriaxone (20.9%), and amoxicillin + clavulanate (8.7%). As for the combination therapy of antibiotics prescribed are (amoxicillin, clavulanate) with levofloxacin (1.7%) and levofloxacin with ceftriaxone (1.7%).</w:t>
      </w:r>
    </w:p>
    <w:p w14:paraId="2F720412" w14:textId="77777777" w:rsidR="00216474" w:rsidRPr="00483C38" w:rsidRDefault="00216474" w:rsidP="00713EE3">
      <w:pPr>
        <w:spacing w:line="240" w:lineRule="auto"/>
        <w:ind w:leftChars="0" w:firstLineChars="0" w:firstLine="541"/>
        <w:jc w:val="both"/>
        <w:rPr>
          <w:rFonts w:ascii="Candara" w:hAnsi="Candara"/>
          <w:spacing w:val="1"/>
        </w:rPr>
      </w:pPr>
    </w:p>
    <w:p w14:paraId="1BA8D81B" w14:textId="1C4880E8" w:rsidR="0061409A" w:rsidRPr="00483C38" w:rsidRDefault="0061409A" w:rsidP="0061409A">
      <w:pPr>
        <w:spacing w:line="240" w:lineRule="auto"/>
        <w:ind w:leftChars="0" w:firstLineChars="0" w:firstLine="541"/>
        <w:jc w:val="center"/>
        <w:rPr>
          <w:rFonts w:ascii="Candara" w:hAnsi="Candara"/>
          <w:b/>
          <w:bCs/>
          <w:spacing w:val="1"/>
        </w:rPr>
      </w:pPr>
      <w:r w:rsidRPr="00483C38">
        <w:rPr>
          <w:rFonts w:ascii="Candara" w:hAnsi="Candara"/>
          <w:b/>
          <w:bCs/>
          <w:spacing w:val="1"/>
        </w:rPr>
        <w:t>Table 4. Number of Days to Treat Urinary Tract Infection Patients at RSU X Years</w:t>
      </w:r>
    </w:p>
    <w:tbl>
      <w:tblPr>
        <w:tblStyle w:val="TableGrid"/>
        <w:tblW w:w="3885" w:type="dxa"/>
        <w:tblInd w:w="2824" w:type="dxa"/>
        <w:tblLayout w:type="fixed"/>
        <w:tblLook w:val="04A0" w:firstRow="1" w:lastRow="0" w:firstColumn="1" w:lastColumn="0" w:noHBand="0" w:noVBand="1"/>
      </w:tblPr>
      <w:tblGrid>
        <w:gridCol w:w="428"/>
        <w:gridCol w:w="1106"/>
        <w:gridCol w:w="779"/>
        <w:gridCol w:w="786"/>
        <w:gridCol w:w="786"/>
      </w:tblGrid>
      <w:tr w:rsidR="00216474" w:rsidRPr="00483C38" w14:paraId="0369538D" w14:textId="77777777" w:rsidTr="00220215">
        <w:tc>
          <w:tcPr>
            <w:tcW w:w="428" w:type="dxa"/>
            <w:vAlign w:val="center"/>
          </w:tcPr>
          <w:p w14:paraId="2B441E42" w14:textId="77777777" w:rsidR="00216474" w:rsidRPr="00483C38" w:rsidRDefault="00216474" w:rsidP="00A44B6D">
            <w:pPr>
              <w:ind w:left="0" w:right="-108" w:hanging="2"/>
              <w:jc w:val="center"/>
              <w:rPr>
                <w:rFonts w:ascii="Candara" w:hAnsi="Candara"/>
                <w:b/>
                <w:bCs/>
                <w:sz w:val="20"/>
                <w:szCs w:val="20"/>
              </w:rPr>
            </w:pPr>
            <w:r w:rsidRPr="00483C38">
              <w:rPr>
                <w:rFonts w:ascii="Candara" w:hAnsi="Candara"/>
                <w:b/>
                <w:bCs/>
                <w:sz w:val="20"/>
                <w:szCs w:val="20"/>
              </w:rPr>
              <w:t>No.</w:t>
            </w:r>
          </w:p>
        </w:tc>
        <w:tc>
          <w:tcPr>
            <w:tcW w:w="1106" w:type="dxa"/>
            <w:vAlign w:val="center"/>
          </w:tcPr>
          <w:p w14:paraId="6F4990C8" w14:textId="72056EC5" w:rsidR="00216474" w:rsidRPr="00483C38" w:rsidRDefault="0061409A" w:rsidP="00A44B6D">
            <w:pPr>
              <w:ind w:left="0" w:hanging="2"/>
              <w:jc w:val="center"/>
              <w:rPr>
                <w:rFonts w:ascii="Candara" w:hAnsi="Candara"/>
                <w:b/>
                <w:bCs/>
                <w:sz w:val="20"/>
                <w:szCs w:val="20"/>
              </w:rPr>
            </w:pPr>
            <w:r w:rsidRPr="00483C38">
              <w:rPr>
                <w:rFonts w:ascii="Candara" w:hAnsi="Candara"/>
                <w:b/>
                <w:bCs/>
                <w:sz w:val="20"/>
                <w:szCs w:val="20"/>
              </w:rPr>
              <w:t>Moon</w:t>
            </w:r>
          </w:p>
        </w:tc>
        <w:tc>
          <w:tcPr>
            <w:tcW w:w="779" w:type="dxa"/>
            <w:vAlign w:val="center"/>
          </w:tcPr>
          <w:p w14:paraId="74443B72"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n (115)</w:t>
            </w:r>
          </w:p>
        </w:tc>
        <w:tc>
          <w:tcPr>
            <w:tcW w:w="786" w:type="dxa"/>
            <w:vAlign w:val="center"/>
          </w:tcPr>
          <w:p w14:paraId="78A968BD"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LOS (</w:t>
            </w:r>
            <w:proofErr w:type="spellStart"/>
            <w:r w:rsidRPr="00483C38">
              <w:rPr>
                <w:rFonts w:ascii="Candara" w:hAnsi="Candara"/>
                <w:b/>
                <w:bCs/>
                <w:sz w:val="20"/>
                <w:szCs w:val="20"/>
              </w:rPr>
              <w:t>hari</w:t>
            </w:r>
            <w:proofErr w:type="spellEnd"/>
            <w:r w:rsidRPr="00483C38">
              <w:rPr>
                <w:rFonts w:ascii="Candara" w:hAnsi="Candara"/>
                <w:b/>
                <w:bCs/>
                <w:sz w:val="20"/>
                <w:szCs w:val="20"/>
              </w:rPr>
              <w:t>)</w:t>
            </w:r>
          </w:p>
        </w:tc>
        <w:tc>
          <w:tcPr>
            <w:tcW w:w="786" w:type="dxa"/>
            <w:vAlign w:val="center"/>
          </w:tcPr>
          <w:p w14:paraId="16242342"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 xml:space="preserve">Rata-rata </w:t>
            </w:r>
            <w:proofErr w:type="spellStart"/>
            <w:r w:rsidRPr="00483C38">
              <w:rPr>
                <w:rFonts w:ascii="Candara" w:hAnsi="Candara"/>
                <w:b/>
                <w:bCs/>
                <w:sz w:val="20"/>
                <w:szCs w:val="20"/>
              </w:rPr>
              <w:t>hari</w:t>
            </w:r>
            <w:proofErr w:type="spellEnd"/>
          </w:p>
        </w:tc>
      </w:tr>
      <w:tr w:rsidR="00216474" w:rsidRPr="00483C38" w14:paraId="77ED4C5A" w14:textId="77777777" w:rsidTr="00220215">
        <w:tc>
          <w:tcPr>
            <w:tcW w:w="428" w:type="dxa"/>
          </w:tcPr>
          <w:p w14:paraId="7AB70104"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1</w:t>
            </w:r>
          </w:p>
        </w:tc>
        <w:tc>
          <w:tcPr>
            <w:tcW w:w="1106" w:type="dxa"/>
          </w:tcPr>
          <w:p w14:paraId="59AEEA84" w14:textId="4D8EA034" w:rsidR="00216474" w:rsidRPr="00483C38" w:rsidRDefault="0061409A" w:rsidP="00A44B6D">
            <w:pPr>
              <w:ind w:left="0" w:right="-57" w:hanging="2"/>
              <w:jc w:val="both"/>
              <w:rPr>
                <w:rFonts w:ascii="Candara" w:hAnsi="Candara"/>
                <w:sz w:val="20"/>
                <w:szCs w:val="20"/>
              </w:rPr>
            </w:pPr>
            <w:r w:rsidRPr="00483C38">
              <w:rPr>
                <w:rFonts w:ascii="Candara" w:hAnsi="Candara"/>
                <w:sz w:val="20"/>
                <w:szCs w:val="20"/>
              </w:rPr>
              <w:t>January</w:t>
            </w:r>
          </w:p>
        </w:tc>
        <w:tc>
          <w:tcPr>
            <w:tcW w:w="779" w:type="dxa"/>
            <w:vAlign w:val="center"/>
          </w:tcPr>
          <w:p w14:paraId="2667B1B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w:t>
            </w:r>
          </w:p>
        </w:tc>
        <w:tc>
          <w:tcPr>
            <w:tcW w:w="786" w:type="dxa"/>
            <w:vAlign w:val="center"/>
          </w:tcPr>
          <w:p w14:paraId="731A1C5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26</w:t>
            </w:r>
          </w:p>
        </w:tc>
        <w:tc>
          <w:tcPr>
            <w:tcW w:w="786" w:type="dxa"/>
            <w:vAlign w:val="center"/>
          </w:tcPr>
          <w:p w14:paraId="4BBEF5E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5,20</w:t>
            </w:r>
          </w:p>
        </w:tc>
      </w:tr>
      <w:tr w:rsidR="00216474" w:rsidRPr="00483C38" w14:paraId="7F8B89C4" w14:textId="77777777" w:rsidTr="00220215">
        <w:tc>
          <w:tcPr>
            <w:tcW w:w="428" w:type="dxa"/>
          </w:tcPr>
          <w:p w14:paraId="65970EEE"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2</w:t>
            </w:r>
          </w:p>
        </w:tc>
        <w:tc>
          <w:tcPr>
            <w:tcW w:w="1106" w:type="dxa"/>
          </w:tcPr>
          <w:p w14:paraId="6F24B293" w14:textId="668B1732" w:rsidR="00216474" w:rsidRPr="00483C38" w:rsidRDefault="0061409A" w:rsidP="00A44B6D">
            <w:pPr>
              <w:ind w:left="0" w:right="-57" w:hanging="2"/>
              <w:jc w:val="both"/>
              <w:rPr>
                <w:rFonts w:ascii="Candara" w:hAnsi="Candara"/>
                <w:sz w:val="20"/>
                <w:szCs w:val="20"/>
              </w:rPr>
            </w:pPr>
            <w:r w:rsidRPr="00483C38">
              <w:rPr>
                <w:rFonts w:ascii="Candara" w:hAnsi="Candara"/>
                <w:sz w:val="20"/>
                <w:szCs w:val="20"/>
              </w:rPr>
              <w:t>February</w:t>
            </w:r>
          </w:p>
        </w:tc>
        <w:tc>
          <w:tcPr>
            <w:tcW w:w="779" w:type="dxa"/>
            <w:vAlign w:val="center"/>
          </w:tcPr>
          <w:p w14:paraId="6DE3A3B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w:t>
            </w:r>
          </w:p>
        </w:tc>
        <w:tc>
          <w:tcPr>
            <w:tcW w:w="786" w:type="dxa"/>
            <w:vAlign w:val="center"/>
          </w:tcPr>
          <w:p w14:paraId="510D910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29</w:t>
            </w:r>
          </w:p>
        </w:tc>
        <w:tc>
          <w:tcPr>
            <w:tcW w:w="786" w:type="dxa"/>
            <w:vAlign w:val="center"/>
          </w:tcPr>
          <w:p w14:paraId="1082A89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4,83</w:t>
            </w:r>
          </w:p>
        </w:tc>
      </w:tr>
      <w:tr w:rsidR="00216474" w:rsidRPr="00483C38" w14:paraId="793CA14B" w14:textId="77777777" w:rsidTr="00220215">
        <w:tc>
          <w:tcPr>
            <w:tcW w:w="428" w:type="dxa"/>
          </w:tcPr>
          <w:p w14:paraId="27311246"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3</w:t>
            </w:r>
          </w:p>
        </w:tc>
        <w:tc>
          <w:tcPr>
            <w:tcW w:w="1106" w:type="dxa"/>
          </w:tcPr>
          <w:p w14:paraId="2096DAD4" w14:textId="12CB84D1" w:rsidR="00216474" w:rsidRPr="00483C38" w:rsidRDefault="0061409A" w:rsidP="00A44B6D">
            <w:pPr>
              <w:ind w:left="0" w:right="-57" w:hanging="2"/>
              <w:jc w:val="both"/>
              <w:rPr>
                <w:rFonts w:ascii="Candara" w:hAnsi="Candara"/>
                <w:sz w:val="20"/>
                <w:szCs w:val="20"/>
              </w:rPr>
            </w:pPr>
            <w:r w:rsidRPr="00483C38">
              <w:rPr>
                <w:rFonts w:ascii="Candara" w:hAnsi="Candara"/>
                <w:sz w:val="20"/>
                <w:szCs w:val="20"/>
              </w:rPr>
              <w:t>March</w:t>
            </w:r>
          </w:p>
        </w:tc>
        <w:tc>
          <w:tcPr>
            <w:tcW w:w="779" w:type="dxa"/>
            <w:vAlign w:val="center"/>
          </w:tcPr>
          <w:p w14:paraId="5655B0D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w:t>
            </w:r>
          </w:p>
        </w:tc>
        <w:tc>
          <w:tcPr>
            <w:tcW w:w="786" w:type="dxa"/>
            <w:vAlign w:val="center"/>
          </w:tcPr>
          <w:p w14:paraId="306ECA7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14</w:t>
            </w:r>
          </w:p>
        </w:tc>
        <w:tc>
          <w:tcPr>
            <w:tcW w:w="786" w:type="dxa"/>
            <w:vAlign w:val="center"/>
          </w:tcPr>
          <w:p w14:paraId="2559988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7,00</w:t>
            </w:r>
          </w:p>
        </w:tc>
      </w:tr>
      <w:tr w:rsidR="00216474" w:rsidRPr="00483C38" w14:paraId="5B12489C" w14:textId="77777777" w:rsidTr="00220215">
        <w:tc>
          <w:tcPr>
            <w:tcW w:w="428" w:type="dxa"/>
          </w:tcPr>
          <w:p w14:paraId="2604B3EE"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4</w:t>
            </w:r>
          </w:p>
        </w:tc>
        <w:tc>
          <w:tcPr>
            <w:tcW w:w="1106" w:type="dxa"/>
          </w:tcPr>
          <w:p w14:paraId="1D778AB4" w14:textId="77777777" w:rsidR="00216474" w:rsidRPr="00483C38" w:rsidRDefault="00216474" w:rsidP="00A44B6D">
            <w:pPr>
              <w:ind w:left="0" w:right="-57" w:hanging="2"/>
              <w:jc w:val="both"/>
              <w:rPr>
                <w:rFonts w:ascii="Candara" w:hAnsi="Candara"/>
                <w:sz w:val="20"/>
                <w:szCs w:val="20"/>
              </w:rPr>
            </w:pPr>
            <w:r w:rsidRPr="00483C38">
              <w:rPr>
                <w:rFonts w:ascii="Candara" w:hAnsi="Candara"/>
                <w:sz w:val="20"/>
                <w:szCs w:val="20"/>
              </w:rPr>
              <w:t>April</w:t>
            </w:r>
          </w:p>
        </w:tc>
        <w:tc>
          <w:tcPr>
            <w:tcW w:w="779" w:type="dxa"/>
            <w:vAlign w:val="center"/>
          </w:tcPr>
          <w:p w14:paraId="0E10DBA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7</w:t>
            </w:r>
          </w:p>
        </w:tc>
        <w:tc>
          <w:tcPr>
            <w:tcW w:w="786" w:type="dxa"/>
            <w:vAlign w:val="center"/>
          </w:tcPr>
          <w:p w14:paraId="37C8763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36</w:t>
            </w:r>
          </w:p>
        </w:tc>
        <w:tc>
          <w:tcPr>
            <w:tcW w:w="786" w:type="dxa"/>
            <w:vAlign w:val="center"/>
          </w:tcPr>
          <w:p w14:paraId="206B9A7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5,14</w:t>
            </w:r>
          </w:p>
        </w:tc>
      </w:tr>
      <w:tr w:rsidR="00216474" w:rsidRPr="00483C38" w14:paraId="7302BC5E" w14:textId="77777777" w:rsidTr="00220215">
        <w:tc>
          <w:tcPr>
            <w:tcW w:w="428" w:type="dxa"/>
          </w:tcPr>
          <w:p w14:paraId="67786009"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lastRenderedPageBreak/>
              <w:t>5</w:t>
            </w:r>
          </w:p>
        </w:tc>
        <w:tc>
          <w:tcPr>
            <w:tcW w:w="1106" w:type="dxa"/>
          </w:tcPr>
          <w:p w14:paraId="10093188" w14:textId="08E263A6" w:rsidR="00216474" w:rsidRPr="00483C38" w:rsidRDefault="00216474" w:rsidP="00A44B6D">
            <w:pPr>
              <w:ind w:left="0" w:right="-57" w:hanging="2"/>
              <w:jc w:val="both"/>
              <w:rPr>
                <w:rFonts w:ascii="Candara" w:hAnsi="Candara"/>
                <w:sz w:val="20"/>
                <w:szCs w:val="20"/>
              </w:rPr>
            </w:pPr>
            <w:r w:rsidRPr="00483C38">
              <w:rPr>
                <w:rFonts w:ascii="Candara" w:hAnsi="Candara"/>
                <w:sz w:val="20"/>
                <w:szCs w:val="20"/>
              </w:rPr>
              <w:t>M</w:t>
            </w:r>
            <w:r w:rsidR="0061409A" w:rsidRPr="00483C38">
              <w:rPr>
                <w:rFonts w:ascii="Candara" w:hAnsi="Candara"/>
                <w:sz w:val="20"/>
                <w:szCs w:val="20"/>
              </w:rPr>
              <w:t>ay</w:t>
            </w:r>
          </w:p>
        </w:tc>
        <w:tc>
          <w:tcPr>
            <w:tcW w:w="779" w:type="dxa"/>
            <w:vAlign w:val="center"/>
          </w:tcPr>
          <w:p w14:paraId="4BBDF65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8</w:t>
            </w:r>
          </w:p>
        </w:tc>
        <w:tc>
          <w:tcPr>
            <w:tcW w:w="786" w:type="dxa"/>
            <w:vAlign w:val="center"/>
          </w:tcPr>
          <w:p w14:paraId="51A02977"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43</w:t>
            </w:r>
          </w:p>
        </w:tc>
        <w:tc>
          <w:tcPr>
            <w:tcW w:w="786" w:type="dxa"/>
            <w:vAlign w:val="center"/>
          </w:tcPr>
          <w:p w14:paraId="0863AD7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5,38</w:t>
            </w:r>
          </w:p>
        </w:tc>
      </w:tr>
      <w:tr w:rsidR="00216474" w:rsidRPr="00483C38" w14:paraId="158EDDD1" w14:textId="77777777" w:rsidTr="00220215">
        <w:tc>
          <w:tcPr>
            <w:tcW w:w="428" w:type="dxa"/>
          </w:tcPr>
          <w:p w14:paraId="4B0151F1"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6</w:t>
            </w:r>
          </w:p>
        </w:tc>
        <w:tc>
          <w:tcPr>
            <w:tcW w:w="1106" w:type="dxa"/>
          </w:tcPr>
          <w:p w14:paraId="0CB164B1" w14:textId="65FBC7F2" w:rsidR="00216474" w:rsidRPr="00483C38" w:rsidRDefault="0061409A" w:rsidP="00A44B6D">
            <w:pPr>
              <w:ind w:left="0" w:right="-57" w:hanging="2"/>
              <w:jc w:val="both"/>
              <w:rPr>
                <w:rFonts w:ascii="Candara" w:hAnsi="Candara"/>
                <w:sz w:val="20"/>
                <w:szCs w:val="20"/>
              </w:rPr>
            </w:pPr>
            <w:r w:rsidRPr="00483C38">
              <w:rPr>
                <w:rFonts w:ascii="Candara" w:hAnsi="Candara"/>
                <w:sz w:val="20"/>
                <w:szCs w:val="20"/>
              </w:rPr>
              <w:t>June</w:t>
            </w:r>
          </w:p>
        </w:tc>
        <w:tc>
          <w:tcPr>
            <w:tcW w:w="779" w:type="dxa"/>
            <w:vAlign w:val="center"/>
          </w:tcPr>
          <w:p w14:paraId="0C70A17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w:t>
            </w:r>
          </w:p>
        </w:tc>
        <w:tc>
          <w:tcPr>
            <w:tcW w:w="786" w:type="dxa"/>
            <w:vAlign w:val="center"/>
          </w:tcPr>
          <w:p w14:paraId="57EFDAF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22</w:t>
            </w:r>
          </w:p>
        </w:tc>
        <w:tc>
          <w:tcPr>
            <w:tcW w:w="786" w:type="dxa"/>
            <w:vAlign w:val="center"/>
          </w:tcPr>
          <w:p w14:paraId="27AF925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5,50</w:t>
            </w:r>
          </w:p>
        </w:tc>
      </w:tr>
      <w:tr w:rsidR="00216474" w:rsidRPr="00483C38" w14:paraId="27DDC807" w14:textId="77777777" w:rsidTr="00220215">
        <w:tc>
          <w:tcPr>
            <w:tcW w:w="428" w:type="dxa"/>
          </w:tcPr>
          <w:p w14:paraId="24E06136"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7</w:t>
            </w:r>
          </w:p>
        </w:tc>
        <w:tc>
          <w:tcPr>
            <w:tcW w:w="1106" w:type="dxa"/>
          </w:tcPr>
          <w:p w14:paraId="4EFE16A1" w14:textId="7BA9C756" w:rsidR="00216474" w:rsidRPr="00483C38" w:rsidRDefault="0061409A" w:rsidP="00A44B6D">
            <w:pPr>
              <w:ind w:left="0" w:right="-57" w:hanging="2"/>
              <w:jc w:val="both"/>
              <w:rPr>
                <w:rFonts w:ascii="Candara" w:hAnsi="Candara"/>
                <w:sz w:val="20"/>
                <w:szCs w:val="20"/>
              </w:rPr>
            </w:pPr>
            <w:r w:rsidRPr="00483C38">
              <w:rPr>
                <w:rFonts w:ascii="Candara" w:hAnsi="Candara"/>
                <w:sz w:val="20"/>
                <w:szCs w:val="20"/>
              </w:rPr>
              <w:t>July</w:t>
            </w:r>
          </w:p>
        </w:tc>
        <w:tc>
          <w:tcPr>
            <w:tcW w:w="779" w:type="dxa"/>
            <w:vAlign w:val="center"/>
          </w:tcPr>
          <w:p w14:paraId="04B6F94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11</w:t>
            </w:r>
          </w:p>
        </w:tc>
        <w:tc>
          <w:tcPr>
            <w:tcW w:w="786" w:type="dxa"/>
            <w:vAlign w:val="center"/>
          </w:tcPr>
          <w:p w14:paraId="7A86DE8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70</w:t>
            </w:r>
          </w:p>
        </w:tc>
        <w:tc>
          <w:tcPr>
            <w:tcW w:w="786" w:type="dxa"/>
            <w:vAlign w:val="center"/>
          </w:tcPr>
          <w:p w14:paraId="2312EB68"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6,36</w:t>
            </w:r>
          </w:p>
        </w:tc>
      </w:tr>
      <w:tr w:rsidR="00216474" w:rsidRPr="00483C38" w14:paraId="4447549D" w14:textId="77777777" w:rsidTr="00220215">
        <w:tc>
          <w:tcPr>
            <w:tcW w:w="428" w:type="dxa"/>
          </w:tcPr>
          <w:p w14:paraId="024F86D1"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8</w:t>
            </w:r>
          </w:p>
        </w:tc>
        <w:tc>
          <w:tcPr>
            <w:tcW w:w="1106" w:type="dxa"/>
          </w:tcPr>
          <w:p w14:paraId="3FF3C456" w14:textId="42F1AE52" w:rsidR="00216474" w:rsidRPr="00483C38" w:rsidRDefault="0061409A" w:rsidP="00A44B6D">
            <w:pPr>
              <w:ind w:left="0" w:right="-57" w:hanging="2"/>
              <w:jc w:val="both"/>
              <w:rPr>
                <w:rFonts w:ascii="Candara" w:hAnsi="Candara"/>
                <w:sz w:val="20"/>
                <w:szCs w:val="20"/>
              </w:rPr>
            </w:pPr>
            <w:r w:rsidRPr="00483C38">
              <w:rPr>
                <w:rFonts w:ascii="Candara" w:hAnsi="Candara"/>
                <w:sz w:val="20"/>
                <w:szCs w:val="20"/>
              </w:rPr>
              <w:t>August</w:t>
            </w:r>
          </w:p>
        </w:tc>
        <w:tc>
          <w:tcPr>
            <w:tcW w:w="779" w:type="dxa"/>
            <w:vAlign w:val="center"/>
          </w:tcPr>
          <w:p w14:paraId="05BFEAD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14</w:t>
            </w:r>
          </w:p>
        </w:tc>
        <w:tc>
          <w:tcPr>
            <w:tcW w:w="786" w:type="dxa"/>
            <w:vAlign w:val="center"/>
          </w:tcPr>
          <w:p w14:paraId="2EA2060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60</w:t>
            </w:r>
          </w:p>
        </w:tc>
        <w:tc>
          <w:tcPr>
            <w:tcW w:w="786" w:type="dxa"/>
            <w:vAlign w:val="center"/>
          </w:tcPr>
          <w:p w14:paraId="18CE7AB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4,29</w:t>
            </w:r>
          </w:p>
        </w:tc>
      </w:tr>
      <w:tr w:rsidR="00216474" w:rsidRPr="00483C38" w14:paraId="6A5F6CCF" w14:textId="77777777" w:rsidTr="00220215">
        <w:tc>
          <w:tcPr>
            <w:tcW w:w="428" w:type="dxa"/>
          </w:tcPr>
          <w:p w14:paraId="7F85EE76"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9</w:t>
            </w:r>
          </w:p>
        </w:tc>
        <w:tc>
          <w:tcPr>
            <w:tcW w:w="1106" w:type="dxa"/>
          </w:tcPr>
          <w:p w14:paraId="501A267E" w14:textId="77777777" w:rsidR="00216474" w:rsidRPr="00483C38" w:rsidRDefault="00216474" w:rsidP="00A44B6D">
            <w:pPr>
              <w:ind w:left="0" w:right="-57" w:hanging="2"/>
              <w:jc w:val="both"/>
              <w:rPr>
                <w:rFonts w:ascii="Candara" w:hAnsi="Candara"/>
                <w:sz w:val="20"/>
                <w:szCs w:val="20"/>
              </w:rPr>
            </w:pPr>
            <w:r w:rsidRPr="00483C38">
              <w:rPr>
                <w:rFonts w:ascii="Candara" w:hAnsi="Candara"/>
                <w:sz w:val="20"/>
                <w:szCs w:val="20"/>
              </w:rPr>
              <w:t>September</w:t>
            </w:r>
          </w:p>
        </w:tc>
        <w:tc>
          <w:tcPr>
            <w:tcW w:w="779" w:type="dxa"/>
            <w:vAlign w:val="center"/>
          </w:tcPr>
          <w:p w14:paraId="164392E8"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29</w:t>
            </w:r>
          </w:p>
        </w:tc>
        <w:tc>
          <w:tcPr>
            <w:tcW w:w="786" w:type="dxa"/>
            <w:vAlign w:val="center"/>
          </w:tcPr>
          <w:p w14:paraId="39678DA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129</w:t>
            </w:r>
          </w:p>
        </w:tc>
        <w:tc>
          <w:tcPr>
            <w:tcW w:w="786" w:type="dxa"/>
            <w:vAlign w:val="center"/>
          </w:tcPr>
          <w:p w14:paraId="54B2CC9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4,45</w:t>
            </w:r>
          </w:p>
        </w:tc>
      </w:tr>
      <w:tr w:rsidR="00216474" w:rsidRPr="00483C38" w14:paraId="19C3C94A" w14:textId="77777777" w:rsidTr="00220215">
        <w:tc>
          <w:tcPr>
            <w:tcW w:w="428" w:type="dxa"/>
          </w:tcPr>
          <w:p w14:paraId="69DE24A0"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10</w:t>
            </w:r>
          </w:p>
        </w:tc>
        <w:tc>
          <w:tcPr>
            <w:tcW w:w="1106" w:type="dxa"/>
          </w:tcPr>
          <w:p w14:paraId="0A300FC1" w14:textId="7D994831" w:rsidR="00216474" w:rsidRPr="00483C38" w:rsidRDefault="00216474" w:rsidP="00A44B6D">
            <w:pPr>
              <w:ind w:left="0" w:right="-57" w:hanging="2"/>
              <w:jc w:val="both"/>
              <w:rPr>
                <w:rFonts w:ascii="Candara" w:hAnsi="Candara"/>
                <w:sz w:val="20"/>
                <w:szCs w:val="20"/>
              </w:rPr>
            </w:pPr>
            <w:r w:rsidRPr="00483C38">
              <w:rPr>
                <w:rFonts w:ascii="Candara" w:hAnsi="Candara"/>
                <w:sz w:val="20"/>
                <w:szCs w:val="20"/>
              </w:rPr>
              <w:t>O</w:t>
            </w:r>
            <w:r w:rsidR="0061409A" w:rsidRPr="00483C38">
              <w:rPr>
                <w:rFonts w:ascii="Candara" w:hAnsi="Candara"/>
                <w:sz w:val="20"/>
                <w:szCs w:val="20"/>
              </w:rPr>
              <w:t>c</w:t>
            </w:r>
            <w:r w:rsidRPr="00483C38">
              <w:rPr>
                <w:rFonts w:ascii="Candara" w:hAnsi="Candara"/>
                <w:sz w:val="20"/>
                <w:szCs w:val="20"/>
              </w:rPr>
              <w:t>tober</w:t>
            </w:r>
          </w:p>
        </w:tc>
        <w:tc>
          <w:tcPr>
            <w:tcW w:w="779" w:type="dxa"/>
            <w:vAlign w:val="center"/>
          </w:tcPr>
          <w:p w14:paraId="70D91BB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13</w:t>
            </w:r>
          </w:p>
        </w:tc>
        <w:tc>
          <w:tcPr>
            <w:tcW w:w="786" w:type="dxa"/>
            <w:vAlign w:val="center"/>
          </w:tcPr>
          <w:p w14:paraId="5409ACC0"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51</w:t>
            </w:r>
          </w:p>
        </w:tc>
        <w:tc>
          <w:tcPr>
            <w:tcW w:w="786" w:type="dxa"/>
            <w:vAlign w:val="center"/>
          </w:tcPr>
          <w:p w14:paraId="1235171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3,92</w:t>
            </w:r>
          </w:p>
        </w:tc>
      </w:tr>
      <w:tr w:rsidR="00216474" w:rsidRPr="00483C38" w14:paraId="1EA28269" w14:textId="77777777" w:rsidTr="00220215">
        <w:tc>
          <w:tcPr>
            <w:tcW w:w="428" w:type="dxa"/>
          </w:tcPr>
          <w:p w14:paraId="070DDFFF"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11</w:t>
            </w:r>
          </w:p>
        </w:tc>
        <w:tc>
          <w:tcPr>
            <w:tcW w:w="1106" w:type="dxa"/>
            <w:tcBorders>
              <w:bottom w:val="single" w:sz="4" w:space="0" w:color="auto"/>
            </w:tcBorders>
          </w:tcPr>
          <w:p w14:paraId="3A56F162" w14:textId="77777777" w:rsidR="00216474" w:rsidRPr="00483C38" w:rsidRDefault="00216474" w:rsidP="00A44B6D">
            <w:pPr>
              <w:ind w:left="0" w:right="-57" w:hanging="2"/>
              <w:jc w:val="both"/>
              <w:rPr>
                <w:rFonts w:ascii="Candara" w:hAnsi="Candara"/>
                <w:sz w:val="20"/>
                <w:szCs w:val="20"/>
              </w:rPr>
            </w:pPr>
            <w:r w:rsidRPr="00483C38">
              <w:rPr>
                <w:rFonts w:ascii="Candara" w:hAnsi="Candara"/>
                <w:sz w:val="20"/>
                <w:szCs w:val="20"/>
              </w:rPr>
              <w:t>November</w:t>
            </w:r>
          </w:p>
        </w:tc>
        <w:tc>
          <w:tcPr>
            <w:tcW w:w="779" w:type="dxa"/>
            <w:vAlign w:val="center"/>
          </w:tcPr>
          <w:p w14:paraId="34771BD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12</w:t>
            </w:r>
          </w:p>
        </w:tc>
        <w:tc>
          <w:tcPr>
            <w:tcW w:w="786" w:type="dxa"/>
            <w:vAlign w:val="center"/>
          </w:tcPr>
          <w:p w14:paraId="5873B56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61</w:t>
            </w:r>
          </w:p>
        </w:tc>
        <w:tc>
          <w:tcPr>
            <w:tcW w:w="786" w:type="dxa"/>
            <w:vAlign w:val="center"/>
          </w:tcPr>
          <w:p w14:paraId="6A0360B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5,08</w:t>
            </w:r>
          </w:p>
        </w:tc>
      </w:tr>
      <w:tr w:rsidR="00216474" w:rsidRPr="00483C38" w14:paraId="0C03E416" w14:textId="77777777" w:rsidTr="00220215">
        <w:tc>
          <w:tcPr>
            <w:tcW w:w="428" w:type="dxa"/>
            <w:tcBorders>
              <w:right w:val="single" w:sz="4" w:space="0" w:color="auto"/>
            </w:tcBorders>
          </w:tcPr>
          <w:p w14:paraId="5B71AA85"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12</w:t>
            </w:r>
          </w:p>
        </w:tc>
        <w:tc>
          <w:tcPr>
            <w:tcW w:w="1106" w:type="dxa"/>
            <w:tcBorders>
              <w:left w:val="single" w:sz="4" w:space="0" w:color="auto"/>
            </w:tcBorders>
          </w:tcPr>
          <w:p w14:paraId="32A788E2" w14:textId="77777777" w:rsidR="00216474" w:rsidRPr="00483C38" w:rsidRDefault="00216474" w:rsidP="00A44B6D">
            <w:pPr>
              <w:ind w:left="0" w:right="-57" w:hanging="2"/>
              <w:jc w:val="both"/>
              <w:rPr>
                <w:rFonts w:ascii="Candara" w:hAnsi="Candara"/>
                <w:sz w:val="20"/>
                <w:szCs w:val="20"/>
              </w:rPr>
            </w:pPr>
            <w:r w:rsidRPr="00483C38">
              <w:rPr>
                <w:rFonts w:ascii="Candara" w:hAnsi="Candara"/>
                <w:sz w:val="20"/>
                <w:szCs w:val="20"/>
              </w:rPr>
              <w:t>Desember</w:t>
            </w:r>
          </w:p>
        </w:tc>
        <w:tc>
          <w:tcPr>
            <w:tcW w:w="779" w:type="dxa"/>
            <w:vAlign w:val="center"/>
          </w:tcPr>
          <w:p w14:paraId="603B146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w:t>
            </w:r>
          </w:p>
        </w:tc>
        <w:tc>
          <w:tcPr>
            <w:tcW w:w="786" w:type="dxa"/>
            <w:vAlign w:val="center"/>
          </w:tcPr>
          <w:p w14:paraId="558A862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11</w:t>
            </w:r>
          </w:p>
        </w:tc>
        <w:tc>
          <w:tcPr>
            <w:tcW w:w="786" w:type="dxa"/>
            <w:vAlign w:val="center"/>
          </w:tcPr>
          <w:p w14:paraId="3E48DAE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2,75</w:t>
            </w:r>
          </w:p>
        </w:tc>
      </w:tr>
      <w:tr w:rsidR="00216474" w:rsidRPr="00483C38" w14:paraId="7813F61F" w14:textId="77777777" w:rsidTr="00220215">
        <w:trPr>
          <w:trHeight w:val="88"/>
        </w:trPr>
        <w:tc>
          <w:tcPr>
            <w:tcW w:w="1534" w:type="dxa"/>
            <w:gridSpan w:val="2"/>
            <w:vAlign w:val="center"/>
          </w:tcPr>
          <w:p w14:paraId="0C51CAA1"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Total</w:t>
            </w:r>
          </w:p>
        </w:tc>
        <w:tc>
          <w:tcPr>
            <w:tcW w:w="779" w:type="dxa"/>
            <w:vAlign w:val="center"/>
          </w:tcPr>
          <w:p w14:paraId="38D74387"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115</w:t>
            </w:r>
          </w:p>
        </w:tc>
        <w:tc>
          <w:tcPr>
            <w:tcW w:w="786" w:type="dxa"/>
            <w:vAlign w:val="center"/>
          </w:tcPr>
          <w:p w14:paraId="35465EFF"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552</w:t>
            </w:r>
          </w:p>
        </w:tc>
        <w:tc>
          <w:tcPr>
            <w:tcW w:w="786" w:type="dxa"/>
            <w:vAlign w:val="center"/>
          </w:tcPr>
          <w:p w14:paraId="67B72504"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59,9</w:t>
            </w:r>
          </w:p>
        </w:tc>
      </w:tr>
      <w:tr w:rsidR="00216474" w:rsidRPr="00483C38" w14:paraId="2879963F" w14:textId="77777777" w:rsidTr="00220215">
        <w:tc>
          <w:tcPr>
            <w:tcW w:w="1534" w:type="dxa"/>
            <w:gridSpan w:val="2"/>
            <w:vAlign w:val="center"/>
          </w:tcPr>
          <w:p w14:paraId="30D60424" w14:textId="5C93A43F" w:rsidR="00216474" w:rsidRPr="00483C38" w:rsidRDefault="0061409A" w:rsidP="00A44B6D">
            <w:pPr>
              <w:ind w:left="0" w:hanging="2"/>
              <w:jc w:val="center"/>
              <w:rPr>
                <w:rFonts w:ascii="Candara" w:hAnsi="Candara"/>
                <w:b/>
                <w:bCs/>
                <w:sz w:val="20"/>
                <w:szCs w:val="20"/>
              </w:rPr>
            </w:pPr>
            <w:r w:rsidRPr="00483C38">
              <w:rPr>
                <w:rFonts w:ascii="Candara" w:hAnsi="Candara"/>
                <w:b/>
                <w:bCs/>
                <w:sz w:val="20"/>
                <w:szCs w:val="20"/>
              </w:rPr>
              <w:t>Average</w:t>
            </w:r>
          </w:p>
        </w:tc>
        <w:tc>
          <w:tcPr>
            <w:tcW w:w="779" w:type="dxa"/>
            <w:vAlign w:val="center"/>
          </w:tcPr>
          <w:p w14:paraId="1D699CBE"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9,58</w:t>
            </w:r>
          </w:p>
        </w:tc>
        <w:tc>
          <w:tcPr>
            <w:tcW w:w="786" w:type="dxa"/>
            <w:vAlign w:val="center"/>
          </w:tcPr>
          <w:p w14:paraId="77AED952"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46</w:t>
            </w:r>
          </w:p>
        </w:tc>
        <w:tc>
          <w:tcPr>
            <w:tcW w:w="786" w:type="dxa"/>
            <w:vAlign w:val="center"/>
          </w:tcPr>
          <w:p w14:paraId="09D416C1"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4,99</w:t>
            </w:r>
          </w:p>
        </w:tc>
      </w:tr>
    </w:tbl>
    <w:p w14:paraId="27817AB4" w14:textId="77777777" w:rsidR="00216474" w:rsidRPr="00483C38" w:rsidRDefault="00216474" w:rsidP="00216474">
      <w:pPr>
        <w:spacing w:line="240" w:lineRule="auto"/>
        <w:ind w:leftChars="0" w:left="0" w:firstLineChars="0" w:firstLine="0"/>
        <w:jc w:val="both"/>
        <w:rPr>
          <w:rFonts w:ascii="Candara" w:hAnsi="Candara"/>
          <w:spacing w:val="1"/>
        </w:rPr>
      </w:pPr>
    </w:p>
    <w:p w14:paraId="62FF188A" w14:textId="77777777" w:rsidR="0061409A" w:rsidRPr="00483C38" w:rsidRDefault="0061409A" w:rsidP="00AD7863">
      <w:pPr>
        <w:spacing w:line="240" w:lineRule="auto"/>
        <w:ind w:leftChars="0" w:firstLineChars="0" w:firstLine="541"/>
        <w:jc w:val="both"/>
        <w:rPr>
          <w:rFonts w:ascii="Candara" w:hAnsi="Candara"/>
          <w:spacing w:val="1"/>
        </w:rPr>
      </w:pPr>
      <w:r w:rsidRPr="00483C38">
        <w:rPr>
          <w:rFonts w:ascii="Candara" w:hAnsi="Candara"/>
          <w:spacing w:val="1"/>
        </w:rPr>
        <w:t xml:space="preserve">LOS (length of stay) is the length of the patient's stay starting from the first day the patient enters the hospital until the patient is discharged from the hospital. LOS was obtained from medical records of 115 research samples. Table 3.4 shows that the average LOS of urinary tract infection patients with or without comorbidities in the inpatient installation of </w:t>
      </w:r>
      <w:proofErr w:type="spellStart"/>
      <w:r w:rsidRPr="00483C38">
        <w:rPr>
          <w:rFonts w:ascii="Candara" w:hAnsi="Candara"/>
          <w:spacing w:val="1"/>
        </w:rPr>
        <w:t>Budhi</w:t>
      </w:r>
      <w:proofErr w:type="spellEnd"/>
      <w:r w:rsidRPr="00483C38">
        <w:rPr>
          <w:rFonts w:ascii="Candara" w:hAnsi="Candara"/>
          <w:spacing w:val="1"/>
        </w:rPr>
        <w:t xml:space="preserve"> Asih Hospital in 2018 was 5 days. This means that in 2018 out of 115 study subjects, the average hospitalization for 5 days for the total number of patient inpatient days was 552 days</w:t>
      </w:r>
    </w:p>
    <w:p w14:paraId="455D3D12" w14:textId="77777777" w:rsidR="00216474" w:rsidRPr="00483C38" w:rsidRDefault="00216474" w:rsidP="00713EE3">
      <w:pPr>
        <w:spacing w:line="240" w:lineRule="auto"/>
        <w:ind w:leftChars="0" w:firstLineChars="0" w:firstLine="541"/>
        <w:jc w:val="both"/>
        <w:rPr>
          <w:rFonts w:ascii="Candara" w:hAnsi="Candara"/>
          <w:spacing w:val="1"/>
        </w:rPr>
      </w:pPr>
    </w:p>
    <w:p w14:paraId="3A647B23" w14:textId="77777777" w:rsidR="0061409A" w:rsidRPr="00483C38" w:rsidRDefault="0061409A" w:rsidP="00B525AD">
      <w:pPr>
        <w:spacing w:line="240" w:lineRule="auto"/>
        <w:ind w:leftChars="0" w:left="0" w:firstLineChars="0" w:firstLine="0"/>
        <w:jc w:val="both"/>
        <w:rPr>
          <w:rFonts w:ascii="Candara" w:hAnsi="Candara"/>
          <w:b/>
          <w:bCs/>
          <w:spacing w:val="1"/>
        </w:rPr>
      </w:pPr>
      <w:r w:rsidRPr="00483C38">
        <w:rPr>
          <w:rFonts w:ascii="Candara" w:hAnsi="Candara"/>
          <w:b/>
          <w:bCs/>
          <w:spacing w:val="1"/>
        </w:rPr>
        <w:t>Quantity of Antibiotic Use for Urinary Tract Infection Patients at RSU X in East Jakarta in 2019</w:t>
      </w:r>
    </w:p>
    <w:p w14:paraId="4419F622" w14:textId="77777777" w:rsidR="00220215" w:rsidRPr="00483C38" w:rsidRDefault="00220215" w:rsidP="00216474">
      <w:pPr>
        <w:spacing w:line="240" w:lineRule="auto"/>
        <w:ind w:leftChars="0" w:left="0" w:firstLineChars="0" w:firstLine="0"/>
        <w:jc w:val="both"/>
        <w:rPr>
          <w:rFonts w:ascii="Candara" w:hAnsi="Candara"/>
          <w:b/>
          <w:bCs/>
          <w:spacing w:val="1"/>
        </w:rPr>
      </w:pPr>
    </w:p>
    <w:p w14:paraId="6A71A15B" w14:textId="4FB8CA8F" w:rsidR="0061409A" w:rsidRPr="00483C38" w:rsidRDefault="0061409A" w:rsidP="0061409A">
      <w:pPr>
        <w:spacing w:line="240" w:lineRule="auto"/>
        <w:ind w:leftChars="0" w:firstLineChars="0" w:firstLine="0"/>
        <w:jc w:val="center"/>
        <w:rPr>
          <w:rFonts w:ascii="Candara" w:hAnsi="Candara"/>
          <w:b/>
          <w:bCs/>
          <w:spacing w:val="1"/>
        </w:rPr>
      </w:pPr>
      <w:r w:rsidRPr="00483C38">
        <w:rPr>
          <w:rFonts w:ascii="Candara" w:hAnsi="Candara"/>
          <w:b/>
          <w:bCs/>
          <w:spacing w:val="1"/>
        </w:rPr>
        <w:t xml:space="preserve">Table 5. Distribution of Antibiotic Use and Calculation of DDD/100 patient-days values at </w:t>
      </w:r>
      <w:proofErr w:type="spellStart"/>
      <w:r w:rsidRPr="00483C38">
        <w:rPr>
          <w:rFonts w:ascii="Candara" w:hAnsi="Candara"/>
          <w:b/>
          <w:bCs/>
          <w:spacing w:val="1"/>
        </w:rPr>
        <w:t>Budhi</w:t>
      </w:r>
      <w:proofErr w:type="spellEnd"/>
      <w:r w:rsidRPr="00483C38">
        <w:rPr>
          <w:rFonts w:ascii="Candara" w:hAnsi="Candara"/>
          <w:b/>
          <w:bCs/>
          <w:spacing w:val="1"/>
        </w:rPr>
        <w:t xml:space="preserve"> Asih Hospital for the 2019 Period</w:t>
      </w:r>
    </w:p>
    <w:tbl>
      <w:tblPr>
        <w:tblStyle w:val="TableGrid"/>
        <w:tblW w:w="0" w:type="auto"/>
        <w:jc w:val="center"/>
        <w:tblLayout w:type="fixed"/>
        <w:tblLook w:val="04A0" w:firstRow="1" w:lastRow="0" w:firstColumn="1" w:lastColumn="0" w:noHBand="0" w:noVBand="1"/>
      </w:tblPr>
      <w:tblGrid>
        <w:gridCol w:w="1418"/>
        <w:gridCol w:w="1559"/>
        <w:gridCol w:w="851"/>
        <w:gridCol w:w="992"/>
        <w:gridCol w:w="992"/>
        <w:gridCol w:w="1134"/>
        <w:gridCol w:w="1100"/>
      </w:tblGrid>
      <w:tr w:rsidR="00216474" w:rsidRPr="00483C38" w14:paraId="599E4FDD" w14:textId="77777777" w:rsidTr="00A44B6D">
        <w:trPr>
          <w:jc w:val="center"/>
        </w:trPr>
        <w:tc>
          <w:tcPr>
            <w:tcW w:w="1418" w:type="dxa"/>
            <w:vAlign w:val="center"/>
          </w:tcPr>
          <w:p w14:paraId="0F1A5C29" w14:textId="17860925" w:rsidR="00216474" w:rsidRPr="00483C38" w:rsidRDefault="0061409A" w:rsidP="00A44B6D">
            <w:pPr>
              <w:ind w:left="0" w:right="-108" w:hanging="2"/>
              <w:jc w:val="center"/>
              <w:rPr>
                <w:rFonts w:ascii="Candara" w:hAnsi="Candara"/>
                <w:b/>
                <w:bCs/>
                <w:sz w:val="20"/>
                <w:szCs w:val="20"/>
              </w:rPr>
            </w:pPr>
            <w:proofErr w:type="spellStart"/>
            <w:r w:rsidRPr="00483C38">
              <w:rPr>
                <w:rFonts w:ascii="Candara" w:hAnsi="Candara"/>
                <w:b/>
                <w:bCs/>
                <w:sz w:val="20"/>
                <w:szCs w:val="20"/>
              </w:rPr>
              <w:t>Golongan</w:t>
            </w:r>
            <w:proofErr w:type="spellEnd"/>
          </w:p>
        </w:tc>
        <w:tc>
          <w:tcPr>
            <w:tcW w:w="1559" w:type="dxa"/>
            <w:vAlign w:val="center"/>
          </w:tcPr>
          <w:p w14:paraId="51D18BE8" w14:textId="77777777" w:rsidR="0061409A" w:rsidRPr="00483C38" w:rsidRDefault="0061409A" w:rsidP="00B97922">
            <w:pPr>
              <w:ind w:left="0" w:hanging="2"/>
              <w:jc w:val="center"/>
              <w:rPr>
                <w:rFonts w:ascii="Candara" w:hAnsi="Candara"/>
                <w:b/>
                <w:bCs/>
                <w:sz w:val="20"/>
                <w:szCs w:val="20"/>
              </w:rPr>
            </w:pPr>
            <w:r w:rsidRPr="00483C38">
              <w:rPr>
                <w:rFonts w:ascii="Candara" w:hAnsi="Candara"/>
                <w:b/>
                <w:bCs/>
                <w:sz w:val="20"/>
                <w:szCs w:val="20"/>
              </w:rPr>
              <w:t>Medicine</w:t>
            </w:r>
          </w:p>
          <w:p w14:paraId="32DB3F99" w14:textId="6EF13086" w:rsidR="00216474" w:rsidRPr="00483C38" w:rsidRDefault="0061409A" w:rsidP="00A44B6D">
            <w:pPr>
              <w:ind w:left="0" w:right="-108" w:hanging="2"/>
              <w:jc w:val="center"/>
              <w:rPr>
                <w:rFonts w:ascii="Candara" w:hAnsi="Candara"/>
                <w:b/>
                <w:bCs/>
                <w:sz w:val="20"/>
                <w:szCs w:val="20"/>
              </w:rPr>
            </w:pPr>
            <w:proofErr w:type="spellStart"/>
            <w:r w:rsidRPr="00483C38">
              <w:rPr>
                <w:rFonts w:ascii="Candara" w:hAnsi="Candara"/>
                <w:b/>
                <w:bCs/>
                <w:sz w:val="20"/>
                <w:szCs w:val="20"/>
              </w:rPr>
              <w:t>Antibiotik</w:t>
            </w:r>
            <w:proofErr w:type="spellEnd"/>
          </w:p>
        </w:tc>
        <w:tc>
          <w:tcPr>
            <w:tcW w:w="851" w:type="dxa"/>
            <w:vAlign w:val="center"/>
          </w:tcPr>
          <w:p w14:paraId="2023A448" w14:textId="1AA8F887" w:rsidR="00216474" w:rsidRPr="00483C38" w:rsidRDefault="0061409A" w:rsidP="00A44B6D">
            <w:pPr>
              <w:ind w:left="0" w:right="-57" w:hanging="2"/>
              <w:jc w:val="center"/>
              <w:rPr>
                <w:rFonts w:ascii="Candara" w:hAnsi="Candara"/>
                <w:b/>
                <w:bCs/>
                <w:sz w:val="20"/>
                <w:szCs w:val="20"/>
              </w:rPr>
            </w:pPr>
            <w:r w:rsidRPr="00483C38">
              <w:rPr>
                <w:rFonts w:ascii="Candara" w:hAnsi="Candara"/>
                <w:b/>
                <w:bCs/>
                <w:sz w:val="20"/>
                <w:szCs w:val="20"/>
              </w:rPr>
              <w:t>Preparatory Forms</w:t>
            </w:r>
          </w:p>
        </w:tc>
        <w:tc>
          <w:tcPr>
            <w:tcW w:w="992" w:type="dxa"/>
            <w:vAlign w:val="center"/>
          </w:tcPr>
          <w:p w14:paraId="12621904" w14:textId="1FBE8E66" w:rsidR="00216474" w:rsidRPr="00483C38" w:rsidRDefault="0061409A" w:rsidP="00A44B6D">
            <w:pPr>
              <w:ind w:left="0" w:right="-108" w:hanging="2"/>
              <w:jc w:val="center"/>
              <w:rPr>
                <w:rFonts w:ascii="Candara" w:hAnsi="Candara"/>
                <w:b/>
                <w:bCs/>
                <w:sz w:val="20"/>
                <w:szCs w:val="20"/>
              </w:rPr>
            </w:pPr>
            <w:r w:rsidRPr="00483C38">
              <w:rPr>
                <w:rFonts w:ascii="Candara" w:hAnsi="Candara"/>
                <w:b/>
                <w:bCs/>
                <w:sz w:val="20"/>
                <w:szCs w:val="20"/>
              </w:rPr>
              <w:t>DDD Standard Values from WHO (g</w:t>
            </w:r>
            <w:r w:rsidR="00216474" w:rsidRPr="00483C38">
              <w:rPr>
                <w:rFonts w:ascii="Candara" w:hAnsi="Candara"/>
                <w:b/>
                <w:bCs/>
                <w:sz w:val="20"/>
                <w:szCs w:val="20"/>
              </w:rPr>
              <w:t>)</w:t>
            </w:r>
          </w:p>
        </w:tc>
        <w:tc>
          <w:tcPr>
            <w:tcW w:w="992" w:type="dxa"/>
            <w:vAlign w:val="center"/>
          </w:tcPr>
          <w:p w14:paraId="586668C9" w14:textId="54B6CD55" w:rsidR="00216474" w:rsidRPr="00483C38" w:rsidRDefault="0061409A" w:rsidP="00A44B6D">
            <w:pPr>
              <w:ind w:left="0" w:right="-108" w:hanging="2"/>
              <w:jc w:val="center"/>
              <w:rPr>
                <w:rFonts w:ascii="Candara" w:hAnsi="Candara"/>
                <w:b/>
                <w:bCs/>
                <w:sz w:val="20"/>
                <w:szCs w:val="20"/>
              </w:rPr>
            </w:pPr>
            <w:r w:rsidRPr="00483C38">
              <w:rPr>
                <w:rFonts w:ascii="Candara" w:hAnsi="Candara"/>
                <w:b/>
                <w:bCs/>
                <w:sz w:val="20"/>
                <w:szCs w:val="20"/>
              </w:rPr>
              <w:t>Preparatory Strength (g)</w:t>
            </w:r>
          </w:p>
        </w:tc>
        <w:tc>
          <w:tcPr>
            <w:tcW w:w="1134" w:type="dxa"/>
            <w:vAlign w:val="center"/>
          </w:tcPr>
          <w:p w14:paraId="6BCEBD4C" w14:textId="1E06B27C" w:rsidR="00216474" w:rsidRPr="00483C38" w:rsidRDefault="0061409A" w:rsidP="00A44B6D">
            <w:pPr>
              <w:ind w:left="0" w:right="-108" w:hanging="2"/>
              <w:jc w:val="center"/>
              <w:rPr>
                <w:rFonts w:ascii="Candara" w:hAnsi="Candara"/>
                <w:b/>
                <w:bCs/>
                <w:sz w:val="20"/>
                <w:szCs w:val="20"/>
              </w:rPr>
            </w:pPr>
            <w:r w:rsidRPr="00483C38">
              <w:rPr>
                <w:rFonts w:ascii="Candara" w:hAnsi="Candara"/>
                <w:b/>
                <w:bCs/>
                <w:sz w:val="20"/>
                <w:szCs w:val="20"/>
              </w:rPr>
              <w:t>Usage Count (</w:t>
            </w:r>
            <w:r w:rsidR="00216474" w:rsidRPr="00483C38">
              <w:rPr>
                <w:rFonts w:ascii="Candara" w:hAnsi="Candara"/>
                <w:b/>
                <w:bCs/>
                <w:sz w:val="20"/>
                <w:szCs w:val="20"/>
              </w:rPr>
              <w:t>g)</w:t>
            </w:r>
          </w:p>
        </w:tc>
        <w:tc>
          <w:tcPr>
            <w:tcW w:w="1100" w:type="dxa"/>
            <w:vAlign w:val="center"/>
          </w:tcPr>
          <w:p w14:paraId="7540FFB2" w14:textId="77777777" w:rsidR="00216474" w:rsidRPr="00483C38" w:rsidRDefault="00216474" w:rsidP="00A44B6D">
            <w:pPr>
              <w:ind w:left="0" w:right="-142" w:hanging="2"/>
              <w:jc w:val="center"/>
              <w:rPr>
                <w:rFonts w:ascii="Candara" w:hAnsi="Candara"/>
                <w:b/>
                <w:bCs/>
                <w:sz w:val="20"/>
                <w:szCs w:val="20"/>
              </w:rPr>
            </w:pPr>
            <w:r w:rsidRPr="00483C38">
              <w:rPr>
                <w:rFonts w:ascii="Candara" w:hAnsi="Candara"/>
                <w:b/>
                <w:bCs/>
                <w:sz w:val="20"/>
                <w:szCs w:val="20"/>
              </w:rPr>
              <w:t xml:space="preserve">DDD/100 </w:t>
            </w:r>
            <w:proofErr w:type="spellStart"/>
            <w:r w:rsidRPr="00483C38">
              <w:rPr>
                <w:rFonts w:ascii="Candara" w:hAnsi="Candara"/>
                <w:b/>
                <w:bCs/>
                <w:i/>
                <w:iCs/>
                <w:sz w:val="20"/>
                <w:szCs w:val="20"/>
              </w:rPr>
              <w:t>patien</w:t>
            </w:r>
            <w:proofErr w:type="spellEnd"/>
            <w:r w:rsidRPr="00483C38">
              <w:rPr>
                <w:rFonts w:ascii="Candara" w:hAnsi="Candara"/>
                <w:b/>
                <w:bCs/>
                <w:i/>
                <w:iCs/>
                <w:sz w:val="20"/>
                <w:szCs w:val="20"/>
              </w:rPr>
              <w:t>-days</w:t>
            </w:r>
          </w:p>
        </w:tc>
      </w:tr>
      <w:tr w:rsidR="00216474" w:rsidRPr="00483C38" w14:paraId="4B243B31" w14:textId="77777777" w:rsidTr="00A44B6D">
        <w:trPr>
          <w:trHeight w:val="121"/>
          <w:jc w:val="center"/>
        </w:trPr>
        <w:tc>
          <w:tcPr>
            <w:tcW w:w="1418" w:type="dxa"/>
            <w:vMerge w:val="restart"/>
            <w:vAlign w:val="center"/>
          </w:tcPr>
          <w:p w14:paraId="296AC966" w14:textId="00D43B57" w:rsidR="00216474" w:rsidRPr="00483C38" w:rsidRDefault="0061409A" w:rsidP="00A44B6D">
            <w:pPr>
              <w:ind w:left="0" w:hanging="2"/>
              <w:rPr>
                <w:rFonts w:ascii="Candara" w:hAnsi="Candara"/>
                <w:sz w:val="20"/>
                <w:szCs w:val="20"/>
              </w:rPr>
            </w:pPr>
            <w:proofErr w:type="spellStart"/>
            <w:r w:rsidRPr="00483C38">
              <w:rPr>
                <w:rFonts w:ascii="Candara" w:hAnsi="Candara"/>
                <w:sz w:val="20"/>
                <w:szCs w:val="20"/>
              </w:rPr>
              <w:t>Fluorokuinolon</w:t>
            </w:r>
            <w:proofErr w:type="spellEnd"/>
          </w:p>
        </w:tc>
        <w:tc>
          <w:tcPr>
            <w:tcW w:w="1559" w:type="dxa"/>
            <w:vMerge w:val="restart"/>
            <w:vAlign w:val="center"/>
          </w:tcPr>
          <w:p w14:paraId="00BD080E" w14:textId="77777777" w:rsidR="00216474" w:rsidRPr="00483C38" w:rsidRDefault="00216474" w:rsidP="00A44B6D">
            <w:pPr>
              <w:ind w:left="0" w:right="-108" w:hanging="2"/>
              <w:rPr>
                <w:rFonts w:ascii="Candara" w:hAnsi="Candara"/>
                <w:b/>
                <w:bCs/>
                <w:sz w:val="20"/>
                <w:szCs w:val="20"/>
              </w:rPr>
            </w:pPr>
            <w:proofErr w:type="spellStart"/>
            <w:r w:rsidRPr="00483C38">
              <w:rPr>
                <w:rFonts w:ascii="Candara" w:hAnsi="Candara"/>
                <w:b/>
                <w:bCs/>
                <w:sz w:val="20"/>
                <w:szCs w:val="20"/>
              </w:rPr>
              <w:t>Levofloksasin</w:t>
            </w:r>
            <w:proofErr w:type="spellEnd"/>
          </w:p>
        </w:tc>
        <w:tc>
          <w:tcPr>
            <w:tcW w:w="851" w:type="dxa"/>
            <w:vAlign w:val="center"/>
          </w:tcPr>
          <w:p w14:paraId="6EEAA4D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Tablet</w:t>
            </w:r>
          </w:p>
        </w:tc>
        <w:tc>
          <w:tcPr>
            <w:tcW w:w="992" w:type="dxa"/>
            <w:vMerge w:val="restart"/>
            <w:vAlign w:val="center"/>
          </w:tcPr>
          <w:p w14:paraId="3AC2252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0,5</w:t>
            </w:r>
          </w:p>
        </w:tc>
        <w:tc>
          <w:tcPr>
            <w:tcW w:w="992" w:type="dxa"/>
            <w:vAlign w:val="center"/>
          </w:tcPr>
          <w:p w14:paraId="4517D070"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0,5</w:t>
            </w:r>
          </w:p>
        </w:tc>
        <w:tc>
          <w:tcPr>
            <w:tcW w:w="1134" w:type="dxa"/>
            <w:vAlign w:val="center"/>
          </w:tcPr>
          <w:p w14:paraId="3DA423E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2,5</w:t>
            </w:r>
          </w:p>
        </w:tc>
        <w:tc>
          <w:tcPr>
            <w:tcW w:w="1100" w:type="dxa"/>
            <w:vMerge w:val="restart"/>
            <w:vAlign w:val="center"/>
          </w:tcPr>
          <w:p w14:paraId="5D02AFEF"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44,07</w:t>
            </w:r>
          </w:p>
        </w:tc>
      </w:tr>
      <w:tr w:rsidR="00216474" w:rsidRPr="00483C38" w14:paraId="2C95FD6B" w14:textId="77777777" w:rsidTr="00A44B6D">
        <w:trPr>
          <w:trHeight w:val="216"/>
          <w:jc w:val="center"/>
        </w:trPr>
        <w:tc>
          <w:tcPr>
            <w:tcW w:w="1418" w:type="dxa"/>
            <w:vMerge/>
            <w:vAlign w:val="center"/>
          </w:tcPr>
          <w:p w14:paraId="47FF98B2" w14:textId="77777777" w:rsidR="00216474" w:rsidRPr="00483C38" w:rsidRDefault="00216474" w:rsidP="00A44B6D">
            <w:pPr>
              <w:ind w:left="0" w:hanging="2"/>
              <w:rPr>
                <w:rFonts w:ascii="Candara" w:hAnsi="Candara"/>
                <w:sz w:val="20"/>
                <w:szCs w:val="20"/>
              </w:rPr>
            </w:pPr>
          </w:p>
        </w:tc>
        <w:tc>
          <w:tcPr>
            <w:tcW w:w="1559" w:type="dxa"/>
            <w:vMerge/>
            <w:vAlign w:val="center"/>
          </w:tcPr>
          <w:p w14:paraId="3391D2F6" w14:textId="77777777" w:rsidR="00216474" w:rsidRPr="00483C38" w:rsidRDefault="00216474" w:rsidP="00A44B6D">
            <w:pPr>
              <w:ind w:left="0" w:right="-108" w:hanging="2"/>
              <w:rPr>
                <w:rFonts w:ascii="Candara" w:hAnsi="Candara"/>
                <w:sz w:val="20"/>
                <w:szCs w:val="20"/>
              </w:rPr>
            </w:pPr>
          </w:p>
        </w:tc>
        <w:tc>
          <w:tcPr>
            <w:tcW w:w="851" w:type="dxa"/>
            <w:vAlign w:val="center"/>
          </w:tcPr>
          <w:p w14:paraId="7C56E93A" w14:textId="372FA128"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Merge/>
            <w:vAlign w:val="center"/>
          </w:tcPr>
          <w:p w14:paraId="2D3E4950" w14:textId="77777777" w:rsidR="00216474" w:rsidRPr="00483C38" w:rsidRDefault="00216474" w:rsidP="00A44B6D">
            <w:pPr>
              <w:ind w:left="0" w:hanging="2"/>
              <w:jc w:val="center"/>
              <w:rPr>
                <w:rFonts w:ascii="Candara" w:hAnsi="Candara"/>
                <w:sz w:val="20"/>
                <w:szCs w:val="20"/>
              </w:rPr>
            </w:pPr>
          </w:p>
        </w:tc>
        <w:tc>
          <w:tcPr>
            <w:tcW w:w="992" w:type="dxa"/>
            <w:vAlign w:val="center"/>
          </w:tcPr>
          <w:p w14:paraId="498F43A0"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0,75</w:t>
            </w:r>
          </w:p>
        </w:tc>
        <w:tc>
          <w:tcPr>
            <w:tcW w:w="1134" w:type="dxa"/>
            <w:vAlign w:val="center"/>
          </w:tcPr>
          <w:p w14:paraId="1822287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119,25</w:t>
            </w:r>
          </w:p>
        </w:tc>
        <w:tc>
          <w:tcPr>
            <w:tcW w:w="1100" w:type="dxa"/>
            <w:vMerge/>
            <w:vAlign w:val="center"/>
          </w:tcPr>
          <w:p w14:paraId="71783BAB" w14:textId="77777777" w:rsidR="00216474" w:rsidRPr="00483C38" w:rsidRDefault="00216474" w:rsidP="00A44B6D">
            <w:pPr>
              <w:ind w:left="0" w:hanging="2"/>
              <w:jc w:val="center"/>
              <w:rPr>
                <w:rFonts w:ascii="Candara" w:hAnsi="Candara"/>
                <w:b/>
                <w:bCs/>
                <w:sz w:val="20"/>
                <w:szCs w:val="20"/>
              </w:rPr>
            </w:pPr>
          </w:p>
        </w:tc>
      </w:tr>
      <w:tr w:rsidR="00216474" w:rsidRPr="00483C38" w14:paraId="3778E5F1" w14:textId="77777777" w:rsidTr="00A44B6D">
        <w:trPr>
          <w:trHeight w:val="243"/>
          <w:jc w:val="center"/>
        </w:trPr>
        <w:tc>
          <w:tcPr>
            <w:tcW w:w="1418" w:type="dxa"/>
            <w:vMerge w:val="restart"/>
            <w:vAlign w:val="center"/>
          </w:tcPr>
          <w:p w14:paraId="1127B3BC" w14:textId="77777777" w:rsidR="00216474" w:rsidRPr="00483C38" w:rsidRDefault="00216474" w:rsidP="00A44B6D">
            <w:pPr>
              <w:ind w:left="0" w:hanging="2"/>
              <w:rPr>
                <w:rFonts w:ascii="Candara" w:hAnsi="Candara"/>
                <w:sz w:val="20"/>
                <w:szCs w:val="20"/>
              </w:rPr>
            </w:pPr>
            <w:proofErr w:type="spellStart"/>
            <w:r w:rsidRPr="00483C38">
              <w:rPr>
                <w:rFonts w:ascii="Candara" w:hAnsi="Candara"/>
                <w:sz w:val="20"/>
                <w:szCs w:val="20"/>
              </w:rPr>
              <w:t>Sefalosporin</w:t>
            </w:r>
            <w:proofErr w:type="spellEnd"/>
          </w:p>
        </w:tc>
        <w:tc>
          <w:tcPr>
            <w:tcW w:w="1559" w:type="dxa"/>
            <w:vAlign w:val="center"/>
          </w:tcPr>
          <w:p w14:paraId="3B27002D" w14:textId="77777777" w:rsidR="00216474" w:rsidRPr="00483C38" w:rsidRDefault="00216474" w:rsidP="00A44B6D">
            <w:pPr>
              <w:ind w:left="0" w:right="-108" w:hanging="2"/>
              <w:rPr>
                <w:rFonts w:ascii="Candara" w:hAnsi="Candara"/>
                <w:b/>
                <w:bCs/>
                <w:sz w:val="20"/>
                <w:szCs w:val="20"/>
              </w:rPr>
            </w:pPr>
            <w:proofErr w:type="spellStart"/>
            <w:r w:rsidRPr="00483C38">
              <w:rPr>
                <w:rFonts w:ascii="Candara" w:hAnsi="Candara"/>
                <w:b/>
                <w:bCs/>
                <w:sz w:val="20"/>
                <w:szCs w:val="20"/>
              </w:rPr>
              <w:t>Seftriakson</w:t>
            </w:r>
            <w:proofErr w:type="spellEnd"/>
          </w:p>
        </w:tc>
        <w:tc>
          <w:tcPr>
            <w:tcW w:w="851" w:type="dxa"/>
            <w:vAlign w:val="center"/>
          </w:tcPr>
          <w:p w14:paraId="623E7FC2" w14:textId="7DCF9C46"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12B8254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w:t>
            </w:r>
          </w:p>
        </w:tc>
        <w:tc>
          <w:tcPr>
            <w:tcW w:w="992" w:type="dxa"/>
            <w:vAlign w:val="center"/>
          </w:tcPr>
          <w:p w14:paraId="3D7AA23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24AD9270"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230</w:t>
            </w:r>
          </w:p>
        </w:tc>
        <w:tc>
          <w:tcPr>
            <w:tcW w:w="1100" w:type="dxa"/>
            <w:vAlign w:val="center"/>
          </w:tcPr>
          <w:p w14:paraId="31D79B98"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20,82</w:t>
            </w:r>
          </w:p>
        </w:tc>
      </w:tr>
      <w:tr w:rsidR="00216474" w:rsidRPr="00483C38" w14:paraId="4F810E85" w14:textId="77777777" w:rsidTr="00A44B6D">
        <w:trPr>
          <w:trHeight w:val="246"/>
          <w:jc w:val="center"/>
        </w:trPr>
        <w:tc>
          <w:tcPr>
            <w:tcW w:w="1418" w:type="dxa"/>
            <w:vMerge/>
            <w:vAlign w:val="center"/>
          </w:tcPr>
          <w:p w14:paraId="341A3295" w14:textId="77777777" w:rsidR="00216474" w:rsidRPr="00483C38" w:rsidRDefault="00216474" w:rsidP="00A44B6D">
            <w:pPr>
              <w:ind w:left="0" w:hanging="2"/>
              <w:rPr>
                <w:rFonts w:ascii="Candara" w:hAnsi="Candara"/>
                <w:sz w:val="20"/>
                <w:szCs w:val="20"/>
              </w:rPr>
            </w:pPr>
          </w:p>
        </w:tc>
        <w:tc>
          <w:tcPr>
            <w:tcW w:w="1559" w:type="dxa"/>
            <w:vAlign w:val="center"/>
          </w:tcPr>
          <w:p w14:paraId="6C134469" w14:textId="77777777" w:rsidR="00216474" w:rsidRPr="00483C38" w:rsidRDefault="00216474" w:rsidP="00A44B6D">
            <w:pPr>
              <w:ind w:left="0" w:right="-108" w:hanging="2"/>
              <w:rPr>
                <w:rFonts w:ascii="Candara" w:hAnsi="Candara"/>
                <w:b/>
                <w:bCs/>
                <w:sz w:val="20"/>
                <w:szCs w:val="20"/>
              </w:rPr>
            </w:pPr>
            <w:r w:rsidRPr="00483C38">
              <w:rPr>
                <w:rFonts w:ascii="Candara" w:hAnsi="Candara"/>
                <w:b/>
                <w:bCs/>
                <w:sz w:val="20"/>
                <w:szCs w:val="20"/>
              </w:rPr>
              <w:t>Sefoperazon</w:t>
            </w:r>
          </w:p>
        </w:tc>
        <w:tc>
          <w:tcPr>
            <w:tcW w:w="851" w:type="dxa"/>
            <w:vAlign w:val="center"/>
          </w:tcPr>
          <w:p w14:paraId="3A345885" w14:textId="036435A0"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0534C13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w:t>
            </w:r>
          </w:p>
        </w:tc>
        <w:tc>
          <w:tcPr>
            <w:tcW w:w="992" w:type="dxa"/>
            <w:vAlign w:val="center"/>
          </w:tcPr>
          <w:p w14:paraId="53E4CE6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0BCEBEC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242</w:t>
            </w:r>
          </w:p>
        </w:tc>
        <w:tc>
          <w:tcPr>
            <w:tcW w:w="1100" w:type="dxa"/>
            <w:vAlign w:val="center"/>
          </w:tcPr>
          <w:p w14:paraId="15789F39"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10,95</w:t>
            </w:r>
          </w:p>
        </w:tc>
      </w:tr>
      <w:tr w:rsidR="00216474" w:rsidRPr="00483C38" w14:paraId="5F5CA1BC" w14:textId="77777777" w:rsidTr="00A44B6D">
        <w:trPr>
          <w:trHeight w:val="224"/>
          <w:jc w:val="center"/>
        </w:trPr>
        <w:tc>
          <w:tcPr>
            <w:tcW w:w="1418" w:type="dxa"/>
            <w:vMerge/>
            <w:vAlign w:val="center"/>
          </w:tcPr>
          <w:p w14:paraId="2516E2BA" w14:textId="77777777" w:rsidR="00216474" w:rsidRPr="00483C38" w:rsidRDefault="00216474" w:rsidP="00A44B6D">
            <w:pPr>
              <w:ind w:left="0" w:hanging="2"/>
              <w:rPr>
                <w:rFonts w:ascii="Candara" w:hAnsi="Candara"/>
                <w:sz w:val="20"/>
                <w:szCs w:val="20"/>
              </w:rPr>
            </w:pPr>
          </w:p>
        </w:tc>
        <w:tc>
          <w:tcPr>
            <w:tcW w:w="1559" w:type="dxa"/>
            <w:vAlign w:val="center"/>
          </w:tcPr>
          <w:p w14:paraId="7A04CE50" w14:textId="77777777" w:rsidR="00216474" w:rsidRPr="00483C38" w:rsidRDefault="00216474" w:rsidP="00A44B6D">
            <w:pPr>
              <w:ind w:left="0" w:right="-108" w:hanging="2"/>
              <w:rPr>
                <w:rFonts w:ascii="Candara" w:hAnsi="Candara"/>
                <w:sz w:val="20"/>
                <w:szCs w:val="20"/>
              </w:rPr>
            </w:pPr>
            <w:proofErr w:type="spellStart"/>
            <w:r w:rsidRPr="00483C38">
              <w:rPr>
                <w:rFonts w:ascii="Candara" w:hAnsi="Candara"/>
                <w:sz w:val="20"/>
                <w:szCs w:val="20"/>
              </w:rPr>
              <w:t>Sefiksim</w:t>
            </w:r>
            <w:proofErr w:type="spellEnd"/>
          </w:p>
        </w:tc>
        <w:tc>
          <w:tcPr>
            <w:tcW w:w="851" w:type="dxa"/>
            <w:vAlign w:val="center"/>
          </w:tcPr>
          <w:p w14:paraId="256BBD9D" w14:textId="13C1E9AA" w:rsidR="00216474" w:rsidRPr="00483C38" w:rsidRDefault="0061409A" w:rsidP="00A44B6D">
            <w:pPr>
              <w:ind w:left="0" w:hanging="2"/>
              <w:jc w:val="center"/>
              <w:rPr>
                <w:rFonts w:ascii="Candara" w:hAnsi="Candara"/>
                <w:sz w:val="20"/>
                <w:szCs w:val="20"/>
              </w:rPr>
            </w:pPr>
            <w:r w:rsidRPr="00483C38">
              <w:rPr>
                <w:rFonts w:ascii="Candara" w:hAnsi="Candara"/>
                <w:sz w:val="20"/>
                <w:szCs w:val="20"/>
              </w:rPr>
              <w:t>Capsule</w:t>
            </w:r>
          </w:p>
        </w:tc>
        <w:tc>
          <w:tcPr>
            <w:tcW w:w="992" w:type="dxa"/>
            <w:vAlign w:val="center"/>
          </w:tcPr>
          <w:p w14:paraId="3155EEE7"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0,4</w:t>
            </w:r>
          </w:p>
        </w:tc>
        <w:tc>
          <w:tcPr>
            <w:tcW w:w="992" w:type="dxa"/>
            <w:vAlign w:val="center"/>
          </w:tcPr>
          <w:p w14:paraId="48BAD69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0,2</w:t>
            </w:r>
          </w:p>
        </w:tc>
        <w:tc>
          <w:tcPr>
            <w:tcW w:w="1134" w:type="dxa"/>
            <w:vAlign w:val="center"/>
          </w:tcPr>
          <w:p w14:paraId="42C7C51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6,48</w:t>
            </w:r>
          </w:p>
        </w:tc>
        <w:tc>
          <w:tcPr>
            <w:tcW w:w="1100" w:type="dxa"/>
            <w:vAlign w:val="center"/>
          </w:tcPr>
          <w:p w14:paraId="04E1A3FC"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2,93</w:t>
            </w:r>
          </w:p>
        </w:tc>
      </w:tr>
      <w:tr w:rsidR="00216474" w:rsidRPr="00483C38" w14:paraId="07C329A2" w14:textId="77777777" w:rsidTr="00A44B6D">
        <w:trPr>
          <w:trHeight w:val="217"/>
          <w:jc w:val="center"/>
        </w:trPr>
        <w:tc>
          <w:tcPr>
            <w:tcW w:w="1418" w:type="dxa"/>
            <w:vMerge/>
            <w:vAlign w:val="center"/>
          </w:tcPr>
          <w:p w14:paraId="7FB5830F" w14:textId="77777777" w:rsidR="00216474" w:rsidRPr="00483C38" w:rsidRDefault="00216474" w:rsidP="00A44B6D">
            <w:pPr>
              <w:ind w:left="0" w:hanging="2"/>
              <w:rPr>
                <w:rFonts w:ascii="Candara" w:hAnsi="Candara"/>
                <w:sz w:val="20"/>
                <w:szCs w:val="20"/>
              </w:rPr>
            </w:pPr>
          </w:p>
        </w:tc>
        <w:tc>
          <w:tcPr>
            <w:tcW w:w="1559" w:type="dxa"/>
            <w:vAlign w:val="center"/>
          </w:tcPr>
          <w:p w14:paraId="7171C783" w14:textId="77777777" w:rsidR="00216474" w:rsidRPr="00483C38" w:rsidRDefault="00216474" w:rsidP="00A44B6D">
            <w:pPr>
              <w:ind w:left="0" w:right="-108" w:hanging="2"/>
              <w:rPr>
                <w:rFonts w:ascii="Candara" w:hAnsi="Candara"/>
                <w:sz w:val="20"/>
                <w:szCs w:val="20"/>
              </w:rPr>
            </w:pPr>
            <w:proofErr w:type="spellStart"/>
            <w:r w:rsidRPr="00483C38">
              <w:rPr>
                <w:rFonts w:ascii="Candara" w:hAnsi="Candara"/>
                <w:sz w:val="20"/>
                <w:szCs w:val="20"/>
              </w:rPr>
              <w:t>Sefepim</w:t>
            </w:r>
            <w:proofErr w:type="spellEnd"/>
          </w:p>
        </w:tc>
        <w:tc>
          <w:tcPr>
            <w:tcW w:w="851" w:type="dxa"/>
            <w:vAlign w:val="center"/>
          </w:tcPr>
          <w:p w14:paraId="34FFF08A" w14:textId="527FC7A9"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59BBB30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w:t>
            </w:r>
          </w:p>
        </w:tc>
        <w:tc>
          <w:tcPr>
            <w:tcW w:w="992" w:type="dxa"/>
            <w:vAlign w:val="center"/>
          </w:tcPr>
          <w:p w14:paraId="10CFE5A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12AA879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w:t>
            </w:r>
          </w:p>
        </w:tc>
        <w:tc>
          <w:tcPr>
            <w:tcW w:w="1100" w:type="dxa"/>
            <w:vAlign w:val="center"/>
          </w:tcPr>
          <w:p w14:paraId="3320AE15"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0,27</w:t>
            </w:r>
          </w:p>
        </w:tc>
      </w:tr>
      <w:tr w:rsidR="00216474" w:rsidRPr="00483C38" w14:paraId="1A4ED0FD" w14:textId="77777777" w:rsidTr="00A44B6D">
        <w:trPr>
          <w:trHeight w:val="224"/>
          <w:jc w:val="center"/>
        </w:trPr>
        <w:tc>
          <w:tcPr>
            <w:tcW w:w="1418" w:type="dxa"/>
            <w:vMerge/>
            <w:vAlign w:val="center"/>
          </w:tcPr>
          <w:p w14:paraId="6520E2B2" w14:textId="77777777" w:rsidR="00216474" w:rsidRPr="00483C38" w:rsidRDefault="00216474" w:rsidP="00A44B6D">
            <w:pPr>
              <w:ind w:left="0" w:hanging="2"/>
              <w:rPr>
                <w:rFonts w:ascii="Candara" w:hAnsi="Candara"/>
                <w:sz w:val="20"/>
                <w:szCs w:val="20"/>
              </w:rPr>
            </w:pPr>
          </w:p>
        </w:tc>
        <w:tc>
          <w:tcPr>
            <w:tcW w:w="1559" w:type="dxa"/>
            <w:vAlign w:val="center"/>
          </w:tcPr>
          <w:p w14:paraId="39A5C55E" w14:textId="77777777" w:rsidR="00216474" w:rsidRPr="00483C38" w:rsidRDefault="00216474" w:rsidP="00A44B6D">
            <w:pPr>
              <w:ind w:left="0" w:right="-108" w:hanging="2"/>
              <w:rPr>
                <w:rFonts w:ascii="Candara" w:hAnsi="Candara"/>
                <w:sz w:val="20"/>
                <w:szCs w:val="20"/>
              </w:rPr>
            </w:pPr>
            <w:r w:rsidRPr="00483C38">
              <w:rPr>
                <w:rFonts w:ascii="Candara" w:hAnsi="Candara"/>
                <w:sz w:val="20"/>
                <w:szCs w:val="20"/>
              </w:rPr>
              <w:t xml:space="preserve">Sefoperazon + </w:t>
            </w:r>
            <w:proofErr w:type="spellStart"/>
            <w:r w:rsidRPr="00483C38">
              <w:rPr>
                <w:rFonts w:ascii="Candara" w:hAnsi="Candara"/>
                <w:sz w:val="20"/>
                <w:szCs w:val="20"/>
              </w:rPr>
              <w:t>Sulbaktam</w:t>
            </w:r>
            <w:proofErr w:type="spellEnd"/>
          </w:p>
        </w:tc>
        <w:tc>
          <w:tcPr>
            <w:tcW w:w="851" w:type="dxa"/>
            <w:vAlign w:val="center"/>
          </w:tcPr>
          <w:p w14:paraId="279186E9" w14:textId="4EA9BC9C"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14F1515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w:t>
            </w:r>
          </w:p>
        </w:tc>
        <w:tc>
          <w:tcPr>
            <w:tcW w:w="992" w:type="dxa"/>
            <w:vAlign w:val="center"/>
          </w:tcPr>
          <w:p w14:paraId="08CB49E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79DE288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40</w:t>
            </w:r>
          </w:p>
        </w:tc>
        <w:tc>
          <w:tcPr>
            <w:tcW w:w="1100" w:type="dxa"/>
            <w:vAlign w:val="center"/>
          </w:tcPr>
          <w:p w14:paraId="5AC6DE66"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1,81</w:t>
            </w:r>
          </w:p>
        </w:tc>
      </w:tr>
      <w:tr w:rsidR="00216474" w:rsidRPr="00483C38" w14:paraId="4CE6469C" w14:textId="77777777" w:rsidTr="00A44B6D">
        <w:trPr>
          <w:trHeight w:val="205"/>
          <w:jc w:val="center"/>
        </w:trPr>
        <w:tc>
          <w:tcPr>
            <w:tcW w:w="1418" w:type="dxa"/>
            <w:vMerge/>
            <w:vAlign w:val="center"/>
          </w:tcPr>
          <w:p w14:paraId="5CB43CE5" w14:textId="77777777" w:rsidR="00216474" w:rsidRPr="00483C38" w:rsidRDefault="00216474" w:rsidP="00A44B6D">
            <w:pPr>
              <w:ind w:left="0" w:hanging="2"/>
              <w:rPr>
                <w:rFonts w:ascii="Candara" w:hAnsi="Candara"/>
                <w:sz w:val="20"/>
                <w:szCs w:val="20"/>
              </w:rPr>
            </w:pPr>
          </w:p>
        </w:tc>
        <w:tc>
          <w:tcPr>
            <w:tcW w:w="1559" w:type="dxa"/>
            <w:vAlign w:val="center"/>
          </w:tcPr>
          <w:p w14:paraId="099105DF" w14:textId="77777777" w:rsidR="00216474" w:rsidRPr="00483C38" w:rsidRDefault="00216474" w:rsidP="00A44B6D">
            <w:pPr>
              <w:ind w:left="0" w:right="-108" w:hanging="2"/>
              <w:rPr>
                <w:rFonts w:ascii="Candara" w:hAnsi="Candara"/>
                <w:sz w:val="20"/>
                <w:szCs w:val="20"/>
              </w:rPr>
            </w:pPr>
            <w:proofErr w:type="spellStart"/>
            <w:r w:rsidRPr="00483C38">
              <w:rPr>
                <w:rFonts w:ascii="Candara" w:hAnsi="Candara"/>
                <w:sz w:val="20"/>
                <w:szCs w:val="20"/>
              </w:rPr>
              <w:t>Sefotaksim</w:t>
            </w:r>
            <w:proofErr w:type="spellEnd"/>
          </w:p>
        </w:tc>
        <w:tc>
          <w:tcPr>
            <w:tcW w:w="851" w:type="dxa"/>
            <w:vAlign w:val="center"/>
          </w:tcPr>
          <w:p w14:paraId="1B9AE5F9" w14:textId="293A1AB7"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2075508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w:t>
            </w:r>
          </w:p>
        </w:tc>
        <w:tc>
          <w:tcPr>
            <w:tcW w:w="992" w:type="dxa"/>
            <w:vAlign w:val="center"/>
          </w:tcPr>
          <w:p w14:paraId="4F9E56E7"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0878C74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27</w:t>
            </w:r>
          </w:p>
        </w:tc>
        <w:tc>
          <w:tcPr>
            <w:tcW w:w="1100" w:type="dxa"/>
            <w:vAlign w:val="center"/>
          </w:tcPr>
          <w:p w14:paraId="1C8246E3"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1,22</w:t>
            </w:r>
          </w:p>
        </w:tc>
      </w:tr>
      <w:tr w:rsidR="00216474" w:rsidRPr="00483C38" w14:paraId="58CC58D8" w14:textId="77777777" w:rsidTr="00A44B6D">
        <w:trPr>
          <w:trHeight w:val="470"/>
          <w:jc w:val="center"/>
        </w:trPr>
        <w:tc>
          <w:tcPr>
            <w:tcW w:w="1418" w:type="dxa"/>
            <w:vMerge w:val="restart"/>
            <w:vAlign w:val="center"/>
          </w:tcPr>
          <w:p w14:paraId="392FA7D6" w14:textId="37C76095" w:rsidR="00216474" w:rsidRPr="00483C38" w:rsidRDefault="0061409A" w:rsidP="00A44B6D">
            <w:pPr>
              <w:ind w:left="0" w:hanging="2"/>
              <w:rPr>
                <w:rFonts w:ascii="Candara" w:hAnsi="Candara"/>
                <w:sz w:val="20"/>
                <w:szCs w:val="20"/>
              </w:rPr>
            </w:pPr>
            <w:proofErr w:type="spellStart"/>
            <w:r w:rsidRPr="00483C38">
              <w:rPr>
                <w:rFonts w:ascii="Candara" w:hAnsi="Candara"/>
                <w:sz w:val="20"/>
                <w:szCs w:val="20"/>
              </w:rPr>
              <w:t>Penisilin</w:t>
            </w:r>
            <w:proofErr w:type="spellEnd"/>
            <w:r w:rsidRPr="00483C38">
              <w:rPr>
                <w:rFonts w:ascii="Candara" w:hAnsi="Candara"/>
                <w:sz w:val="20"/>
                <w:szCs w:val="20"/>
              </w:rPr>
              <w:t xml:space="preserve"> + </w:t>
            </w:r>
            <w:proofErr w:type="gramStart"/>
            <w:r w:rsidRPr="00483C38">
              <w:rPr>
                <w:rFonts w:ascii="Candara" w:hAnsi="Candara"/>
                <w:sz w:val="20"/>
                <w:szCs w:val="20"/>
              </w:rPr>
              <w:t>Inhibitor  Beta</w:t>
            </w:r>
            <w:proofErr w:type="gramEnd"/>
            <w:r w:rsidRPr="00483C38">
              <w:rPr>
                <w:rFonts w:ascii="Candara" w:hAnsi="Candara"/>
                <w:sz w:val="20"/>
                <w:szCs w:val="20"/>
              </w:rPr>
              <w:t xml:space="preserve"> </w:t>
            </w:r>
            <w:proofErr w:type="spellStart"/>
            <w:r w:rsidRPr="00483C38">
              <w:rPr>
                <w:rFonts w:ascii="Candara" w:hAnsi="Candara"/>
                <w:sz w:val="20"/>
                <w:szCs w:val="20"/>
              </w:rPr>
              <w:t>Laktamase</w:t>
            </w:r>
            <w:proofErr w:type="spellEnd"/>
          </w:p>
        </w:tc>
        <w:tc>
          <w:tcPr>
            <w:tcW w:w="1559" w:type="dxa"/>
            <w:vAlign w:val="center"/>
          </w:tcPr>
          <w:p w14:paraId="74469C6C" w14:textId="77777777" w:rsidR="00216474" w:rsidRPr="00483C38" w:rsidRDefault="00216474" w:rsidP="00A44B6D">
            <w:pPr>
              <w:ind w:left="0" w:right="-108" w:hanging="2"/>
              <w:rPr>
                <w:rFonts w:ascii="Candara" w:hAnsi="Candara"/>
                <w:b/>
                <w:bCs/>
                <w:sz w:val="20"/>
                <w:szCs w:val="20"/>
              </w:rPr>
            </w:pPr>
            <w:proofErr w:type="spellStart"/>
            <w:r w:rsidRPr="00483C38">
              <w:rPr>
                <w:rFonts w:ascii="Candara" w:hAnsi="Candara"/>
                <w:b/>
                <w:bCs/>
                <w:sz w:val="20"/>
                <w:szCs w:val="20"/>
              </w:rPr>
              <w:t>Amoksisilin</w:t>
            </w:r>
            <w:proofErr w:type="spellEnd"/>
            <w:r w:rsidRPr="00483C38">
              <w:rPr>
                <w:rFonts w:ascii="Candara" w:hAnsi="Candara"/>
                <w:b/>
                <w:bCs/>
                <w:sz w:val="20"/>
                <w:szCs w:val="20"/>
              </w:rPr>
              <w:t xml:space="preserve"> </w:t>
            </w:r>
            <w:proofErr w:type="gramStart"/>
            <w:r w:rsidRPr="00483C38">
              <w:rPr>
                <w:rFonts w:ascii="Candara" w:hAnsi="Candara"/>
                <w:b/>
                <w:bCs/>
                <w:sz w:val="20"/>
                <w:szCs w:val="20"/>
              </w:rPr>
              <w:t xml:space="preserve">+  </w:t>
            </w:r>
            <w:proofErr w:type="spellStart"/>
            <w:r w:rsidRPr="00483C38">
              <w:rPr>
                <w:rFonts w:ascii="Candara" w:hAnsi="Candara"/>
                <w:b/>
                <w:bCs/>
                <w:sz w:val="20"/>
                <w:szCs w:val="20"/>
              </w:rPr>
              <w:t>Klavulanat</w:t>
            </w:r>
            <w:proofErr w:type="spellEnd"/>
            <w:proofErr w:type="gramEnd"/>
          </w:p>
        </w:tc>
        <w:tc>
          <w:tcPr>
            <w:tcW w:w="851" w:type="dxa"/>
            <w:vAlign w:val="center"/>
          </w:tcPr>
          <w:p w14:paraId="53EBD9B6" w14:textId="123D302D"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1A0C0C5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w:t>
            </w:r>
          </w:p>
        </w:tc>
        <w:tc>
          <w:tcPr>
            <w:tcW w:w="992" w:type="dxa"/>
            <w:vAlign w:val="center"/>
          </w:tcPr>
          <w:p w14:paraId="5B42045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0EACD02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144</w:t>
            </w:r>
          </w:p>
        </w:tc>
        <w:tc>
          <w:tcPr>
            <w:tcW w:w="1100" w:type="dxa"/>
            <w:vAlign w:val="center"/>
          </w:tcPr>
          <w:p w14:paraId="16B92BA7"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8,69</w:t>
            </w:r>
          </w:p>
        </w:tc>
      </w:tr>
      <w:tr w:rsidR="00216474" w:rsidRPr="00483C38" w14:paraId="25BF2928" w14:textId="77777777" w:rsidTr="00A44B6D">
        <w:trPr>
          <w:trHeight w:val="449"/>
          <w:jc w:val="center"/>
        </w:trPr>
        <w:tc>
          <w:tcPr>
            <w:tcW w:w="1418" w:type="dxa"/>
            <w:vMerge/>
            <w:vAlign w:val="center"/>
          </w:tcPr>
          <w:p w14:paraId="327932A2" w14:textId="77777777" w:rsidR="00216474" w:rsidRPr="00483C38" w:rsidRDefault="00216474" w:rsidP="00A44B6D">
            <w:pPr>
              <w:ind w:left="0" w:hanging="2"/>
              <w:rPr>
                <w:rFonts w:ascii="Candara" w:hAnsi="Candara"/>
                <w:sz w:val="20"/>
                <w:szCs w:val="20"/>
              </w:rPr>
            </w:pPr>
          </w:p>
        </w:tc>
        <w:tc>
          <w:tcPr>
            <w:tcW w:w="1559" w:type="dxa"/>
            <w:vAlign w:val="center"/>
          </w:tcPr>
          <w:p w14:paraId="6E98345C" w14:textId="77777777" w:rsidR="00216474" w:rsidRPr="00483C38" w:rsidRDefault="00216474" w:rsidP="00A44B6D">
            <w:pPr>
              <w:ind w:left="0" w:right="-108" w:hanging="2"/>
              <w:rPr>
                <w:rFonts w:ascii="Candara" w:hAnsi="Candara"/>
                <w:sz w:val="20"/>
                <w:szCs w:val="20"/>
              </w:rPr>
            </w:pPr>
            <w:proofErr w:type="spellStart"/>
            <w:r w:rsidRPr="00483C38">
              <w:rPr>
                <w:rFonts w:ascii="Candara" w:hAnsi="Candara"/>
                <w:sz w:val="20"/>
                <w:szCs w:val="20"/>
              </w:rPr>
              <w:t>Ampisilin</w:t>
            </w:r>
            <w:proofErr w:type="spellEnd"/>
            <w:r w:rsidRPr="00483C38">
              <w:rPr>
                <w:rFonts w:ascii="Candara" w:hAnsi="Candara"/>
                <w:sz w:val="20"/>
                <w:szCs w:val="20"/>
              </w:rPr>
              <w:t xml:space="preserve"> + </w:t>
            </w:r>
            <w:proofErr w:type="spellStart"/>
            <w:r w:rsidRPr="00483C38">
              <w:rPr>
                <w:rFonts w:ascii="Candara" w:hAnsi="Candara"/>
                <w:sz w:val="20"/>
                <w:szCs w:val="20"/>
              </w:rPr>
              <w:t>Sulbaktam</w:t>
            </w:r>
            <w:proofErr w:type="spellEnd"/>
          </w:p>
        </w:tc>
        <w:tc>
          <w:tcPr>
            <w:tcW w:w="851" w:type="dxa"/>
            <w:vAlign w:val="center"/>
          </w:tcPr>
          <w:p w14:paraId="601DA083" w14:textId="027371A7"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6BA39B6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6</w:t>
            </w:r>
          </w:p>
        </w:tc>
        <w:tc>
          <w:tcPr>
            <w:tcW w:w="992" w:type="dxa"/>
            <w:vAlign w:val="center"/>
          </w:tcPr>
          <w:p w14:paraId="7E8E9CA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401BCC6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48</w:t>
            </w:r>
          </w:p>
        </w:tc>
        <w:tc>
          <w:tcPr>
            <w:tcW w:w="1100" w:type="dxa"/>
            <w:vAlign w:val="center"/>
          </w:tcPr>
          <w:p w14:paraId="057CF492"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1,45</w:t>
            </w:r>
          </w:p>
        </w:tc>
      </w:tr>
      <w:tr w:rsidR="00216474" w:rsidRPr="00483C38" w14:paraId="227CAAE3" w14:textId="77777777" w:rsidTr="00A44B6D">
        <w:trPr>
          <w:jc w:val="center"/>
        </w:trPr>
        <w:tc>
          <w:tcPr>
            <w:tcW w:w="1418" w:type="dxa"/>
            <w:vAlign w:val="center"/>
          </w:tcPr>
          <w:p w14:paraId="319AAC23" w14:textId="77777777" w:rsidR="00216474" w:rsidRPr="00483C38" w:rsidRDefault="00216474" w:rsidP="00A44B6D">
            <w:pPr>
              <w:ind w:left="0" w:hanging="2"/>
              <w:rPr>
                <w:rFonts w:ascii="Candara" w:hAnsi="Candara"/>
                <w:sz w:val="20"/>
                <w:szCs w:val="20"/>
              </w:rPr>
            </w:pPr>
            <w:proofErr w:type="spellStart"/>
            <w:r w:rsidRPr="00483C38">
              <w:rPr>
                <w:rFonts w:ascii="Candara" w:hAnsi="Candara"/>
                <w:sz w:val="20"/>
                <w:szCs w:val="20"/>
              </w:rPr>
              <w:lastRenderedPageBreak/>
              <w:t>Karbapenem</w:t>
            </w:r>
            <w:proofErr w:type="spellEnd"/>
          </w:p>
        </w:tc>
        <w:tc>
          <w:tcPr>
            <w:tcW w:w="1559" w:type="dxa"/>
            <w:vAlign w:val="center"/>
          </w:tcPr>
          <w:p w14:paraId="15CA94EE" w14:textId="77777777" w:rsidR="00216474" w:rsidRPr="00483C38" w:rsidRDefault="00216474" w:rsidP="00A44B6D">
            <w:pPr>
              <w:ind w:left="0" w:right="-108" w:hanging="2"/>
              <w:rPr>
                <w:rFonts w:ascii="Candara" w:hAnsi="Candara"/>
                <w:b/>
                <w:bCs/>
                <w:sz w:val="20"/>
                <w:szCs w:val="20"/>
              </w:rPr>
            </w:pPr>
            <w:r w:rsidRPr="00483C38">
              <w:rPr>
                <w:rFonts w:ascii="Candara" w:hAnsi="Candara"/>
                <w:b/>
                <w:bCs/>
                <w:sz w:val="20"/>
                <w:szCs w:val="20"/>
              </w:rPr>
              <w:t>Meropenem</w:t>
            </w:r>
          </w:p>
        </w:tc>
        <w:tc>
          <w:tcPr>
            <w:tcW w:w="851" w:type="dxa"/>
            <w:vAlign w:val="center"/>
          </w:tcPr>
          <w:p w14:paraId="17C03C9D" w14:textId="3944C23E"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44E217D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w:t>
            </w:r>
          </w:p>
        </w:tc>
        <w:tc>
          <w:tcPr>
            <w:tcW w:w="992" w:type="dxa"/>
            <w:vAlign w:val="center"/>
          </w:tcPr>
          <w:p w14:paraId="30B8A36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w:t>
            </w:r>
          </w:p>
        </w:tc>
        <w:tc>
          <w:tcPr>
            <w:tcW w:w="1134" w:type="dxa"/>
            <w:vAlign w:val="center"/>
          </w:tcPr>
          <w:p w14:paraId="3660ED7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57</w:t>
            </w:r>
          </w:p>
        </w:tc>
        <w:tc>
          <w:tcPr>
            <w:tcW w:w="1100" w:type="dxa"/>
            <w:vAlign w:val="center"/>
          </w:tcPr>
          <w:p w14:paraId="3F831300"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3,44</w:t>
            </w:r>
          </w:p>
        </w:tc>
      </w:tr>
      <w:tr w:rsidR="00216474" w:rsidRPr="00483C38" w14:paraId="12A170E1" w14:textId="77777777" w:rsidTr="00A44B6D">
        <w:trPr>
          <w:jc w:val="center"/>
        </w:trPr>
        <w:tc>
          <w:tcPr>
            <w:tcW w:w="1418" w:type="dxa"/>
            <w:vAlign w:val="center"/>
          </w:tcPr>
          <w:p w14:paraId="23B48FAC" w14:textId="7EDF4EF8" w:rsidR="00216474" w:rsidRPr="00483C38" w:rsidRDefault="0061409A" w:rsidP="00A44B6D">
            <w:pPr>
              <w:ind w:left="0" w:hanging="2"/>
              <w:rPr>
                <w:rFonts w:ascii="Candara" w:hAnsi="Candara"/>
                <w:sz w:val="20"/>
                <w:szCs w:val="20"/>
              </w:rPr>
            </w:pPr>
            <w:r w:rsidRPr="00483C38">
              <w:rPr>
                <w:rFonts w:ascii="Candara" w:hAnsi="Candara"/>
                <w:sz w:val="20"/>
                <w:szCs w:val="20"/>
              </w:rPr>
              <w:t>Other Groups</w:t>
            </w:r>
          </w:p>
        </w:tc>
        <w:tc>
          <w:tcPr>
            <w:tcW w:w="1559" w:type="dxa"/>
            <w:vAlign w:val="center"/>
          </w:tcPr>
          <w:p w14:paraId="60F87EB7" w14:textId="77777777" w:rsidR="00216474" w:rsidRPr="00483C38" w:rsidRDefault="00216474" w:rsidP="00A44B6D">
            <w:pPr>
              <w:ind w:left="0" w:right="-108" w:hanging="2"/>
              <w:rPr>
                <w:rFonts w:ascii="Candara" w:hAnsi="Candara"/>
                <w:sz w:val="20"/>
                <w:szCs w:val="20"/>
              </w:rPr>
            </w:pPr>
            <w:proofErr w:type="spellStart"/>
            <w:r w:rsidRPr="00483C38">
              <w:rPr>
                <w:rFonts w:ascii="Candara" w:hAnsi="Candara"/>
                <w:sz w:val="20"/>
                <w:szCs w:val="20"/>
              </w:rPr>
              <w:t>Fosfomisin</w:t>
            </w:r>
            <w:proofErr w:type="spellEnd"/>
          </w:p>
        </w:tc>
        <w:tc>
          <w:tcPr>
            <w:tcW w:w="851" w:type="dxa"/>
            <w:vAlign w:val="center"/>
          </w:tcPr>
          <w:p w14:paraId="38222C64" w14:textId="4147E850" w:rsidR="00216474" w:rsidRPr="00483C38" w:rsidRDefault="0061409A" w:rsidP="00A44B6D">
            <w:pPr>
              <w:ind w:left="0" w:hanging="2"/>
              <w:jc w:val="center"/>
              <w:rPr>
                <w:rFonts w:ascii="Candara" w:hAnsi="Candara"/>
                <w:sz w:val="20"/>
                <w:szCs w:val="20"/>
              </w:rPr>
            </w:pPr>
            <w:r w:rsidRPr="00483C38">
              <w:rPr>
                <w:rFonts w:ascii="Candara" w:hAnsi="Candara"/>
                <w:sz w:val="20"/>
                <w:szCs w:val="20"/>
              </w:rPr>
              <w:t>Injection</w:t>
            </w:r>
          </w:p>
        </w:tc>
        <w:tc>
          <w:tcPr>
            <w:tcW w:w="992" w:type="dxa"/>
            <w:vAlign w:val="center"/>
          </w:tcPr>
          <w:p w14:paraId="120DC01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8</w:t>
            </w:r>
          </w:p>
        </w:tc>
        <w:tc>
          <w:tcPr>
            <w:tcW w:w="992" w:type="dxa"/>
            <w:vAlign w:val="center"/>
          </w:tcPr>
          <w:p w14:paraId="348FCC7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w:t>
            </w:r>
          </w:p>
        </w:tc>
        <w:tc>
          <w:tcPr>
            <w:tcW w:w="1134" w:type="dxa"/>
            <w:vAlign w:val="center"/>
          </w:tcPr>
          <w:p w14:paraId="0BA39FF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44</w:t>
            </w:r>
          </w:p>
        </w:tc>
        <w:tc>
          <w:tcPr>
            <w:tcW w:w="1100" w:type="dxa"/>
            <w:vAlign w:val="center"/>
          </w:tcPr>
          <w:p w14:paraId="1F3D6D93"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1,00</w:t>
            </w:r>
          </w:p>
        </w:tc>
      </w:tr>
    </w:tbl>
    <w:p w14:paraId="21B110E0" w14:textId="77777777" w:rsidR="00216474" w:rsidRPr="00483C38" w:rsidRDefault="00216474" w:rsidP="00216474">
      <w:pPr>
        <w:spacing w:line="240" w:lineRule="auto"/>
        <w:ind w:leftChars="0" w:left="0" w:firstLineChars="0" w:firstLine="0"/>
        <w:jc w:val="both"/>
        <w:rPr>
          <w:rFonts w:ascii="Candara" w:hAnsi="Candara"/>
          <w:spacing w:val="1"/>
        </w:rPr>
      </w:pPr>
    </w:p>
    <w:p w14:paraId="0B0114EC" w14:textId="77777777" w:rsidR="0061409A" w:rsidRPr="00483C38" w:rsidRDefault="0061409A" w:rsidP="002C6BA8">
      <w:pPr>
        <w:spacing w:line="240" w:lineRule="auto"/>
        <w:ind w:leftChars="0" w:firstLineChars="0" w:firstLine="541"/>
        <w:jc w:val="both"/>
        <w:rPr>
          <w:rFonts w:ascii="Candara" w:hAnsi="Candara"/>
          <w:spacing w:val="1"/>
        </w:rPr>
      </w:pPr>
      <w:r w:rsidRPr="00483C38">
        <w:rPr>
          <w:rFonts w:ascii="Candara" w:hAnsi="Candara"/>
          <w:spacing w:val="1"/>
        </w:rPr>
        <w:t xml:space="preserve">Table 5 above shows that there are 5 classes of antibiotics used as therapy in urinary tract infection patients. After analysis with the DDD method, there were 4 major antibiotics used, namely levofloxacin 44.07 DDD / 100 patient-days, followed by ceftriaxone 20.82 DDD / 100 patient-days, </w:t>
      </w:r>
      <w:proofErr w:type="spellStart"/>
      <w:r w:rsidRPr="00483C38">
        <w:rPr>
          <w:rFonts w:ascii="Candara" w:hAnsi="Candara"/>
          <w:spacing w:val="1"/>
        </w:rPr>
        <w:t>cefoperazon</w:t>
      </w:r>
      <w:proofErr w:type="spellEnd"/>
      <w:r w:rsidRPr="00483C38">
        <w:rPr>
          <w:rFonts w:ascii="Candara" w:hAnsi="Candara"/>
          <w:spacing w:val="1"/>
        </w:rPr>
        <w:t xml:space="preserve"> 10.95 DDD / 100 patient-days, and amoxicillin clavulanate 8.69 DDD / 100 patient-days.</w:t>
      </w:r>
    </w:p>
    <w:p w14:paraId="5FFFDD77" w14:textId="77777777" w:rsidR="009F5B64" w:rsidRPr="00483C38" w:rsidRDefault="009F5B64" w:rsidP="0061409A">
      <w:pPr>
        <w:spacing w:line="240" w:lineRule="auto"/>
        <w:ind w:leftChars="0" w:left="0" w:firstLineChars="0" w:firstLine="0"/>
        <w:rPr>
          <w:rFonts w:ascii="Candara" w:hAnsi="Candara"/>
          <w:b/>
          <w:bCs/>
          <w:spacing w:val="1"/>
        </w:rPr>
      </w:pPr>
    </w:p>
    <w:p w14:paraId="79AAEA6A" w14:textId="2443AFA0" w:rsidR="0061409A" w:rsidRPr="00483C38" w:rsidRDefault="0061409A" w:rsidP="0061409A">
      <w:pPr>
        <w:spacing w:line="240" w:lineRule="auto"/>
        <w:ind w:leftChars="0" w:firstLineChars="0" w:firstLine="0"/>
        <w:jc w:val="center"/>
        <w:rPr>
          <w:rFonts w:ascii="Candara" w:hAnsi="Candara"/>
          <w:b/>
          <w:bCs/>
          <w:spacing w:val="1"/>
        </w:rPr>
      </w:pPr>
      <w:r w:rsidRPr="00483C38">
        <w:rPr>
          <w:rFonts w:ascii="Candara" w:hAnsi="Candara"/>
          <w:b/>
          <w:bCs/>
          <w:spacing w:val="1"/>
        </w:rPr>
        <w:t>Table 6. Du Profile of 90% Antibiotic Use in Urinary Tract Infection Patients at RSU X East Jakarta 2019</w:t>
      </w:r>
    </w:p>
    <w:tbl>
      <w:tblPr>
        <w:tblStyle w:val="TableGrid"/>
        <w:tblW w:w="0" w:type="auto"/>
        <w:jc w:val="center"/>
        <w:tblLook w:val="04A0" w:firstRow="1" w:lastRow="0" w:firstColumn="1" w:lastColumn="0" w:noHBand="0" w:noVBand="1"/>
      </w:tblPr>
      <w:tblGrid>
        <w:gridCol w:w="567"/>
        <w:gridCol w:w="1276"/>
        <w:gridCol w:w="2410"/>
        <w:gridCol w:w="1417"/>
        <w:gridCol w:w="1276"/>
        <w:gridCol w:w="1100"/>
      </w:tblGrid>
      <w:tr w:rsidR="00216474" w:rsidRPr="00483C38" w14:paraId="4B98DB67" w14:textId="77777777" w:rsidTr="00A44B6D">
        <w:trPr>
          <w:jc w:val="center"/>
        </w:trPr>
        <w:tc>
          <w:tcPr>
            <w:tcW w:w="567" w:type="dxa"/>
            <w:vAlign w:val="center"/>
          </w:tcPr>
          <w:p w14:paraId="4B0DB011"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No.</w:t>
            </w:r>
          </w:p>
        </w:tc>
        <w:tc>
          <w:tcPr>
            <w:tcW w:w="1276" w:type="dxa"/>
            <w:vAlign w:val="center"/>
          </w:tcPr>
          <w:p w14:paraId="67284CA6" w14:textId="5436F4AE" w:rsidR="00216474" w:rsidRPr="00483C38" w:rsidRDefault="0061409A" w:rsidP="00A44B6D">
            <w:pPr>
              <w:ind w:left="0" w:hanging="2"/>
              <w:jc w:val="center"/>
              <w:rPr>
                <w:rFonts w:ascii="Candara" w:hAnsi="Candara"/>
                <w:b/>
                <w:bCs/>
                <w:sz w:val="20"/>
                <w:szCs w:val="20"/>
              </w:rPr>
            </w:pPr>
            <w:r w:rsidRPr="00483C38">
              <w:rPr>
                <w:rFonts w:ascii="Candara" w:hAnsi="Candara"/>
                <w:b/>
                <w:bCs/>
                <w:sz w:val="20"/>
                <w:szCs w:val="20"/>
              </w:rPr>
              <w:t>ATC code</w:t>
            </w:r>
          </w:p>
        </w:tc>
        <w:tc>
          <w:tcPr>
            <w:tcW w:w="2410" w:type="dxa"/>
            <w:vAlign w:val="center"/>
          </w:tcPr>
          <w:p w14:paraId="1011594B" w14:textId="6882B494" w:rsidR="00216474" w:rsidRPr="00483C38" w:rsidRDefault="0061409A" w:rsidP="00A44B6D">
            <w:pPr>
              <w:ind w:left="0" w:hanging="2"/>
              <w:jc w:val="center"/>
              <w:rPr>
                <w:rFonts w:ascii="Candara" w:hAnsi="Candara"/>
                <w:b/>
                <w:bCs/>
                <w:sz w:val="20"/>
                <w:szCs w:val="20"/>
              </w:rPr>
            </w:pPr>
            <w:r w:rsidRPr="00483C38">
              <w:rPr>
                <w:rFonts w:ascii="Candara" w:hAnsi="Candara"/>
                <w:b/>
                <w:bCs/>
                <w:sz w:val="20"/>
                <w:szCs w:val="20"/>
              </w:rPr>
              <w:t>Antibiotics</w:t>
            </w:r>
          </w:p>
        </w:tc>
        <w:tc>
          <w:tcPr>
            <w:tcW w:w="1417" w:type="dxa"/>
            <w:vAlign w:val="center"/>
          </w:tcPr>
          <w:p w14:paraId="049B55AF" w14:textId="77777777" w:rsidR="00216474" w:rsidRPr="00483C38" w:rsidRDefault="00216474" w:rsidP="00A44B6D">
            <w:pPr>
              <w:ind w:left="0" w:hanging="2"/>
              <w:jc w:val="center"/>
              <w:rPr>
                <w:rFonts w:ascii="Candara" w:hAnsi="Candara"/>
                <w:b/>
                <w:bCs/>
                <w:i/>
                <w:iCs/>
                <w:sz w:val="20"/>
                <w:szCs w:val="20"/>
              </w:rPr>
            </w:pPr>
            <w:r w:rsidRPr="00483C38">
              <w:rPr>
                <w:rFonts w:ascii="Candara" w:hAnsi="Candara"/>
                <w:b/>
                <w:bCs/>
                <w:sz w:val="20"/>
                <w:szCs w:val="20"/>
              </w:rPr>
              <w:t xml:space="preserve">DDD/100 </w:t>
            </w:r>
            <w:r w:rsidRPr="00483C38">
              <w:rPr>
                <w:rFonts w:ascii="Candara" w:hAnsi="Candara"/>
                <w:b/>
                <w:bCs/>
                <w:i/>
                <w:iCs/>
                <w:sz w:val="20"/>
                <w:szCs w:val="20"/>
              </w:rPr>
              <w:t>Patient-days</w:t>
            </w:r>
          </w:p>
        </w:tc>
        <w:tc>
          <w:tcPr>
            <w:tcW w:w="1276" w:type="dxa"/>
            <w:vAlign w:val="center"/>
          </w:tcPr>
          <w:p w14:paraId="78D4FAD6" w14:textId="08414759" w:rsidR="00216474" w:rsidRPr="00483C38" w:rsidRDefault="0061409A" w:rsidP="00A44B6D">
            <w:pPr>
              <w:ind w:left="0" w:hanging="2"/>
              <w:jc w:val="center"/>
              <w:rPr>
                <w:rFonts w:ascii="Candara" w:hAnsi="Candara"/>
                <w:b/>
                <w:bCs/>
                <w:sz w:val="20"/>
                <w:szCs w:val="20"/>
              </w:rPr>
            </w:pPr>
            <w:r w:rsidRPr="00483C38">
              <w:rPr>
                <w:rFonts w:ascii="Candara" w:hAnsi="Candara"/>
                <w:b/>
                <w:bCs/>
                <w:sz w:val="20"/>
                <w:szCs w:val="20"/>
              </w:rPr>
              <w:t xml:space="preserve">Use </w:t>
            </w:r>
            <w:r w:rsidR="00216474" w:rsidRPr="00483C38">
              <w:rPr>
                <w:rFonts w:ascii="Candara" w:hAnsi="Candara"/>
                <w:b/>
                <w:bCs/>
                <w:sz w:val="20"/>
                <w:szCs w:val="20"/>
              </w:rPr>
              <w:t>(%)</w:t>
            </w:r>
          </w:p>
        </w:tc>
        <w:tc>
          <w:tcPr>
            <w:tcW w:w="1100" w:type="dxa"/>
            <w:vAlign w:val="center"/>
          </w:tcPr>
          <w:p w14:paraId="1DA7DB68" w14:textId="6510C852" w:rsidR="00216474" w:rsidRPr="00483C38" w:rsidRDefault="0061409A" w:rsidP="00A44B6D">
            <w:pPr>
              <w:ind w:left="0" w:hanging="2"/>
              <w:jc w:val="center"/>
              <w:rPr>
                <w:rFonts w:ascii="Candara" w:hAnsi="Candara"/>
                <w:b/>
                <w:bCs/>
                <w:sz w:val="20"/>
                <w:szCs w:val="20"/>
              </w:rPr>
            </w:pPr>
            <w:r w:rsidRPr="00483C38">
              <w:rPr>
                <w:rFonts w:ascii="Candara" w:hAnsi="Candara"/>
                <w:b/>
                <w:bCs/>
                <w:sz w:val="20"/>
                <w:szCs w:val="20"/>
              </w:rPr>
              <w:t xml:space="preserve">Segment </w:t>
            </w:r>
            <w:r w:rsidR="00216474" w:rsidRPr="00483C38">
              <w:rPr>
                <w:rFonts w:ascii="Candara" w:hAnsi="Candara"/>
                <w:b/>
                <w:bCs/>
                <w:sz w:val="20"/>
                <w:szCs w:val="20"/>
              </w:rPr>
              <w:t>DU</w:t>
            </w:r>
          </w:p>
        </w:tc>
      </w:tr>
      <w:tr w:rsidR="00216474" w:rsidRPr="00483C38" w14:paraId="3BC8A797" w14:textId="77777777" w:rsidTr="00A44B6D">
        <w:trPr>
          <w:jc w:val="center"/>
        </w:trPr>
        <w:tc>
          <w:tcPr>
            <w:tcW w:w="567" w:type="dxa"/>
          </w:tcPr>
          <w:p w14:paraId="4225E838"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1</w:t>
            </w:r>
          </w:p>
        </w:tc>
        <w:tc>
          <w:tcPr>
            <w:tcW w:w="1276" w:type="dxa"/>
            <w:vAlign w:val="center"/>
          </w:tcPr>
          <w:p w14:paraId="434A721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J01MA12</w:t>
            </w:r>
          </w:p>
        </w:tc>
        <w:tc>
          <w:tcPr>
            <w:tcW w:w="2410" w:type="dxa"/>
          </w:tcPr>
          <w:p w14:paraId="1A082D68"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Levofloksasin</w:t>
            </w:r>
            <w:proofErr w:type="spellEnd"/>
          </w:p>
        </w:tc>
        <w:tc>
          <w:tcPr>
            <w:tcW w:w="1417" w:type="dxa"/>
            <w:vAlign w:val="center"/>
          </w:tcPr>
          <w:p w14:paraId="46C2C01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44,07</w:t>
            </w:r>
          </w:p>
        </w:tc>
        <w:tc>
          <w:tcPr>
            <w:tcW w:w="1276" w:type="dxa"/>
            <w:vAlign w:val="center"/>
          </w:tcPr>
          <w:p w14:paraId="384F9C2D"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45,60</w:t>
            </w:r>
          </w:p>
        </w:tc>
        <w:tc>
          <w:tcPr>
            <w:tcW w:w="1100" w:type="dxa"/>
            <w:vMerge w:val="restart"/>
            <w:vAlign w:val="center"/>
          </w:tcPr>
          <w:p w14:paraId="61274D2D"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90%</w:t>
            </w:r>
          </w:p>
        </w:tc>
      </w:tr>
      <w:tr w:rsidR="00216474" w:rsidRPr="00483C38" w14:paraId="760DB248" w14:textId="77777777" w:rsidTr="00A44B6D">
        <w:trPr>
          <w:jc w:val="center"/>
        </w:trPr>
        <w:tc>
          <w:tcPr>
            <w:tcW w:w="567" w:type="dxa"/>
          </w:tcPr>
          <w:p w14:paraId="1BD22972"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2</w:t>
            </w:r>
          </w:p>
        </w:tc>
        <w:tc>
          <w:tcPr>
            <w:tcW w:w="1276" w:type="dxa"/>
            <w:vAlign w:val="center"/>
          </w:tcPr>
          <w:p w14:paraId="688CA8D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J01DD04</w:t>
            </w:r>
          </w:p>
        </w:tc>
        <w:tc>
          <w:tcPr>
            <w:tcW w:w="2410" w:type="dxa"/>
          </w:tcPr>
          <w:p w14:paraId="77373E29"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Seftriakson</w:t>
            </w:r>
            <w:proofErr w:type="spellEnd"/>
          </w:p>
        </w:tc>
        <w:tc>
          <w:tcPr>
            <w:tcW w:w="1417" w:type="dxa"/>
            <w:vAlign w:val="center"/>
          </w:tcPr>
          <w:p w14:paraId="1D58B238"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20,82</w:t>
            </w:r>
          </w:p>
        </w:tc>
        <w:tc>
          <w:tcPr>
            <w:tcW w:w="1276" w:type="dxa"/>
            <w:vAlign w:val="center"/>
          </w:tcPr>
          <w:p w14:paraId="6EB9C39E"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21,54</w:t>
            </w:r>
          </w:p>
        </w:tc>
        <w:tc>
          <w:tcPr>
            <w:tcW w:w="1100" w:type="dxa"/>
            <w:vMerge/>
            <w:vAlign w:val="center"/>
          </w:tcPr>
          <w:p w14:paraId="679263DB" w14:textId="77777777" w:rsidR="00216474" w:rsidRPr="00483C38" w:rsidRDefault="00216474" w:rsidP="00A44B6D">
            <w:pPr>
              <w:ind w:left="0" w:hanging="2"/>
              <w:jc w:val="center"/>
              <w:rPr>
                <w:rFonts w:ascii="Candara" w:hAnsi="Candara"/>
                <w:sz w:val="20"/>
                <w:szCs w:val="20"/>
              </w:rPr>
            </w:pPr>
          </w:p>
        </w:tc>
      </w:tr>
      <w:tr w:rsidR="00216474" w:rsidRPr="00483C38" w14:paraId="00F3B35D" w14:textId="77777777" w:rsidTr="00A44B6D">
        <w:trPr>
          <w:jc w:val="center"/>
        </w:trPr>
        <w:tc>
          <w:tcPr>
            <w:tcW w:w="567" w:type="dxa"/>
          </w:tcPr>
          <w:p w14:paraId="067D5950"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3</w:t>
            </w:r>
          </w:p>
        </w:tc>
        <w:tc>
          <w:tcPr>
            <w:tcW w:w="1276" w:type="dxa"/>
            <w:vAlign w:val="center"/>
          </w:tcPr>
          <w:p w14:paraId="11D80DE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J01DD12</w:t>
            </w:r>
          </w:p>
        </w:tc>
        <w:tc>
          <w:tcPr>
            <w:tcW w:w="2410" w:type="dxa"/>
          </w:tcPr>
          <w:p w14:paraId="289B4252"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Sefoperazon</w:t>
            </w:r>
          </w:p>
        </w:tc>
        <w:tc>
          <w:tcPr>
            <w:tcW w:w="1417" w:type="dxa"/>
            <w:vAlign w:val="center"/>
          </w:tcPr>
          <w:p w14:paraId="674C1BF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10,95</w:t>
            </w:r>
          </w:p>
        </w:tc>
        <w:tc>
          <w:tcPr>
            <w:tcW w:w="1276" w:type="dxa"/>
            <w:vAlign w:val="center"/>
          </w:tcPr>
          <w:p w14:paraId="6DDA3E0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11,33</w:t>
            </w:r>
          </w:p>
        </w:tc>
        <w:tc>
          <w:tcPr>
            <w:tcW w:w="1100" w:type="dxa"/>
            <w:vMerge/>
            <w:vAlign w:val="center"/>
          </w:tcPr>
          <w:p w14:paraId="688993B0" w14:textId="77777777" w:rsidR="00216474" w:rsidRPr="00483C38" w:rsidRDefault="00216474" w:rsidP="00A44B6D">
            <w:pPr>
              <w:ind w:left="0" w:hanging="2"/>
              <w:jc w:val="center"/>
              <w:rPr>
                <w:rFonts w:ascii="Candara" w:hAnsi="Candara"/>
                <w:sz w:val="20"/>
                <w:szCs w:val="20"/>
              </w:rPr>
            </w:pPr>
          </w:p>
        </w:tc>
      </w:tr>
      <w:tr w:rsidR="00216474" w:rsidRPr="00483C38" w14:paraId="46CDA3BF" w14:textId="77777777" w:rsidTr="00A44B6D">
        <w:trPr>
          <w:jc w:val="center"/>
        </w:trPr>
        <w:tc>
          <w:tcPr>
            <w:tcW w:w="567" w:type="dxa"/>
          </w:tcPr>
          <w:p w14:paraId="2034A3E5"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4</w:t>
            </w:r>
          </w:p>
        </w:tc>
        <w:tc>
          <w:tcPr>
            <w:tcW w:w="1276" w:type="dxa"/>
            <w:vAlign w:val="center"/>
          </w:tcPr>
          <w:p w14:paraId="1E80490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J01CR02</w:t>
            </w:r>
          </w:p>
        </w:tc>
        <w:tc>
          <w:tcPr>
            <w:tcW w:w="2410" w:type="dxa"/>
          </w:tcPr>
          <w:p w14:paraId="3A7D9546"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Amoksisilin</w:t>
            </w:r>
            <w:proofErr w:type="spellEnd"/>
            <w:r w:rsidRPr="00483C38">
              <w:rPr>
                <w:rFonts w:ascii="Candara" w:hAnsi="Candara"/>
                <w:sz w:val="20"/>
                <w:szCs w:val="20"/>
              </w:rPr>
              <w:t xml:space="preserve"> + </w:t>
            </w:r>
            <w:proofErr w:type="spellStart"/>
            <w:r w:rsidRPr="00483C38">
              <w:rPr>
                <w:rFonts w:ascii="Candara" w:hAnsi="Candara"/>
                <w:sz w:val="20"/>
                <w:szCs w:val="20"/>
              </w:rPr>
              <w:t>klavulanat</w:t>
            </w:r>
            <w:proofErr w:type="spellEnd"/>
          </w:p>
        </w:tc>
        <w:tc>
          <w:tcPr>
            <w:tcW w:w="1417" w:type="dxa"/>
            <w:vAlign w:val="center"/>
          </w:tcPr>
          <w:p w14:paraId="7ED481D2"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8,69</w:t>
            </w:r>
          </w:p>
        </w:tc>
        <w:tc>
          <w:tcPr>
            <w:tcW w:w="1276" w:type="dxa"/>
            <w:vAlign w:val="center"/>
          </w:tcPr>
          <w:p w14:paraId="3985404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9,00</w:t>
            </w:r>
          </w:p>
        </w:tc>
        <w:tc>
          <w:tcPr>
            <w:tcW w:w="1100" w:type="dxa"/>
            <w:vMerge/>
            <w:vAlign w:val="center"/>
          </w:tcPr>
          <w:p w14:paraId="4800190B" w14:textId="77777777" w:rsidR="00216474" w:rsidRPr="00483C38" w:rsidRDefault="00216474" w:rsidP="00A44B6D">
            <w:pPr>
              <w:ind w:left="0" w:hanging="2"/>
              <w:jc w:val="center"/>
              <w:rPr>
                <w:rFonts w:ascii="Candara" w:hAnsi="Candara"/>
                <w:sz w:val="20"/>
                <w:szCs w:val="20"/>
              </w:rPr>
            </w:pPr>
          </w:p>
        </w:tc>
      </w:tr>
      <w:tr w:rsidR="00216474" w:rsidRPr="00483C38" w14:paraId="23EAD8A9" w14:textId="77777777" w:rsidTr="00A44B6D">
        <w:trPr>
          <w:jc w:val="center"/>
        </w:trPr>
        <w:tc>
          <w:tcPr>
            <w:tcW w:w="567" w:type="dxa"/>
          </w:tcPr>
          <w:p w14:paraId="5A0FADAD"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5</w:t>
            </w:r>
          </w:p>
        </w:tc>
        <w:tc>
          <w:tcPr>
            <w:tcW w:w="1276" w:type="dxa"/>
            <w:vAlign w:val="center"/>
          </w:tcPr>
          <w:p w14:paraId="2686B72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J01DH02</w:t>
            </w:r>
          </w:p>
        </w:tc>
        <w:tc>
          <w:tcPr>
            <w:tcW w:w="2410" w:type="dxa"/>
          </w:tcPr>
          <w:p w14:paraId="192CAC22"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Meropenem</w:t>
            </w:r>
          </w:p>
        </w:tc>
        <w:tc>
          <w:tcPr>
            <w:tcW w:w="1417" w:type="dxa"/>
            <w:vAlign w:val="center"/>
          </w:tcPr>
          <w:p w14:paraId="61D455D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3,44</w:t>
            </w:r>
          </w:p>
        </w:tc>
        <w:tc>
          <w:tcPr>
            <w:tcW w:w="1276" w:type="dxa"/>
            <w:vAlign w:val="center"/>
          </w:tcPr>
          <w:p w14:paraId="29EDE98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3,56</w:t>
            </w:r>
          </w:p>
        </w:tc>
        <w:tc>
          <w:tcPr>
            <w:tcW w:w="1100" w:type="dxa"/>
            <w:vMerge w:val="restart"/>
            <w:vAlign w:val="center"/>
          </w:tcPr>
          <w:p w14:paraId="2723CFE2" w14:textId="77777777" w:rsidR="00216474" w:rsidRPr="00483C38" w:rsidRDefault="00216474" w:rsidP="00A44B6D">
            <w:pPr>
              <w:ind w:left="0" w:hanging="2"/>
              <w:jc w:val="center"/>
              <w:rPr>
                <w:rFonts w:ascii="Candara" w:hAnsi="Candara"/>
                <w:sz w:val="20"/>
                <w:szCs w:val="20"/>
              </w:rPr>
            </w:pPr>
            <w:r w:rsidRPr="00483C38">
              <w:rPr>
                <w:rFonts w:ascii="Candara" w:hAnsi="Candara"/>
                <w:b/>
                <w:bCs/>
                <w:sz w:val="20"/>
                <w:szCs w:val="20"/>
              </w:rPr>
              <w:t>10%</w:t>
            </w:r>
          </w:p>
        </w:tc>
      </w:tr>
      <w:tr w:rsidR="00216474" w:rsidRPr="00483C38" w14:paraId="514500F1" w14:textId="77777777" w:rsidTr="00A44B6D">
        <w:trPr>
          <w:jc w:val="center"/>
        </w:trPr>
        <w:tc>
          <w:tcPr>
            <w:tcW w:w="567" w:type="dxa"/>
          </w:tcPr>
          <w:p w14:paraId="038690C8"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6</w:t>
            </w:r>
          </w:p>
        </w:tc>
        <w:tc>
          <w:tcPr>
            <w:tcW w:w="1276" w:type="dxa"/>
            <w:vAlign w:val="center"/>
          </w:tcPr>
          <w:p w14:paraId="5C6D03C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J01DD08</w:t>
            </w:r>
          </w:p>
        </w:tc>
        <w:tc>
          <w:tcPr>
            <w:tcW w:w="2410" w:type="dxa"/>
          </w:tcPr>
          <w:p w14:paraId="5D36A8D5"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Sefiksim</w:t>
            </w:r>
            <w:proofErr w:type="spellEnd"/>
          </w:p>
        </w:tc>
        <w:tc>
          <w:tcPr>
            <w:tcW w:w="1417" w:type="dxa"/>
            <w:vAlign w:val="center"/>
          </w:tcPr>
          <w:p w14:paraId="14F7CE6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2,93</w:t>
            </w:r>
          </w:p>
        </w:tc>
        <w:tc>
          <w:tcPr>
            <w:tcW w:w="1276" w:type="dxa"/>
            <w:vAlign w:val="center"/>
          </w:tcPr>
          <w:p w14:paraId="01B6ACF3"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3,03</w:t>
            </w:r>
          </w:p>
        </w:tc>
        <w:tc>
          <w:tcPr>
            <w:tcW w:w="1100" w:type="dxa"/>
            <w:vMerge/>
            <w:vAlign w:val="center"/>
          </w:tcPr>
          <w:p w14:paraId="5815A418" w14:textId="77777777" w:rsidR="00216474" w:rsidRPr="00483C38" w:rsidRDefault="00216474" w:rsidP="00A44B6D">
            <w:pPr>
              <w:ind w:left="0" w:hanging="2"/>
              <w:jc w:val="center"/>
              <w:rPr>
                <w:rFonts w:ascii="Candara" w:hAnsi="Candara"/>
                <w:b/>
                <w:bCs/>
                <w:sz w:val="20"/>
                <w:szCs w:val="20"/>
              </w:rPr>
            </w:pPr>
          </w:p>
        </w:tc>
      </w:tr>
      <w:tr w:rsidR="00216474" w:rsidRPr="00483C38" w14:paraId="1C6A9E53" w14:textId="77777777" w:rsidTr="00A44B6D">
        <w:trPr>
          <w:jc w:val="center"/>
        </w:trPr>
        <w:tc>
          <w:tcPr>
            <w:tcW w:w="567" w:type="dxa"/>
          </w:tcPr>
          <w:p w14:paraId="5F41EE52"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7</w:t>
            </w:r>
          </w:p>
        </w:tc>
        <w:tc>
          <w:tcPr>
            <w:tcW w:w="1276" w:type="dxa"/>
            <w:vAlign w:val="center"/>
          </w:tcPr>
          <w:p w14:paraId="7F60B8A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J01DD62</w:t>
            </w:r>
          </w:p>
        </w:tc>
        <w:tc>
          <w:tcPr>
            <w:tcW w:w="2410" w:type="dxa"/>
          </w:tcPr>
          <w:p w14:paraId="3C98919F"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 xml:space="preserve">Sefoperazon + </w:t>
            </w:r>
            <w:proofErr w:type="spellStart"/>
            <w:r w:rsidRPr="00483C38">
              <w:rPr>
                <w:rFonts w:ascii="Candara" w:hAnsi="Candara"/>
                <w:sz w:val="20"/>
                <w:szCs w:val="20"/>
              </w:rPr>
              <w:t>Sulbaktam</w:t>
            </w:r>
            <w:proofErr w:type="spellEnd"/>
          </w:p>
        </w:tc>
        <w:tc>
          <w:tcPr>
            <w:tcW w:w="1417" w:type="dxa"/>
            <w:vAlign w:val="center"/>
          </w:tcPr>
          <w:p w14:paraId="44174805"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1,81</w:t>
            </w:r>
          </w:p>
        </w:tc>
        <w:tc>
          <w:tcPr>
            <w:tcW w:w="1276" w:type="dxa"/>
            <w:vAlign w:val="center"/>
          </w:tcPr>
          <w:p w14:paraId="4C32B7B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1,87</w:t>
            </w:r>
          </w:p>
        </w:tc>
        <w:tc>
          <w:tcPr>
            <w:tcW w:w="1100" w:type="dxa"/>
            <w:vMerge/>
            <w:vAlign w:val="center"/>
          </w:tcPr>
          <w:p w14:paraId="50BDCCE7" w14:textId="77777777" w:rsidR="00216474" w:rsidRPr="00483C38" w:rsidRDefault="00216474" w:rsidP="00A44B6D">
            <w:pPr>
              <w:ind w:left="0" w:hanging="2"/>
              <w:jc w:val="center"/>
              <w:rPr>
                <w:rFonts w:ascii="Candara" w:hAnsi="Candara"/>
                <w:sz w:val="20"/>
                <w:szCs w:val="20"/>
              </w:rPr>
            </w:pPr>
          </w:p>
        </w:tc>
      </w:tr>
      <w:tr w:rsidR="00216474" w:rsidRPr="00483C38" w14:paraId="5CE9687A" w14:textId="77777777" w:rsidTr="00A44B6D">
        <w:trPr>
          <w:jc w:val="center"/>
        </w:trPr>
        <w:tc>
          <w:tcPr>
            <w:tcW w:w="567" w:type="dxa"/>
          </w:tcPr>
          <w:p w14:paraId="414898EA"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8</w:t>
            </w:r>
          </w:p>
        </w:tc>
        <w:tc>
          <w:tcPr>
            <w:tcW w:w="1276" w:type="dxa"/>
            <w:vAlign w:val="center"/>
          </w:tcPr>
          <w:p w14:paraId="191F1CC8"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J01CR01</w:t>
            </w:r>
          </w:p>
        </w:tc>
        <w:tc>
          <w:tcPr>
            <w:tcW w:w="2410" w:type="dxa"/>
          </w:tcPr>
          <w:p w14:paraId="599FDAFA"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Ampisilin</w:t>
            </w:r>
            <w:proofErr w:type="spellEnd"/>
            <w:r w:rsidRPr="00483C38">
              <w:rPr>
                <w:rFonts w:ascii="Candara" w:hAnsi="Candara"/>
                <w:sz w:val="20"/>
                <w:szCs w:val="20"/>
              </w:rPr>
              <w:t xml:space="preserve"> + </w:t>
            </w:r>
            <w:proofErr w:type="spellStart"/>
            <w:r w:rsidRPr="00483C38">
              <w:rPr>
                <w:rFonts w:ascii="Candara" w:hAnsi="Candara"/>
                <w:sz w:val="20"/>
                <w:szCs w:val="20"/>
              </w:rPr>
              <w:t>Sulbaktam</w:t>
            </w:r>
            <w:proofErr w:type="spellEnd"/>
          </w:p>
        </w:tc>
        <w:tc>
          <w:tcPr>
            <w:tcW w:w="1417" w:type="dxa"/>
            <w:vAlign w:val="center"/>
          </w:tcPr>
          <w:p w14:paraId="64A09D1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1,45</w:t>
            </w:r>
          </w:p>
        </w:tc>
        <w:tc>
          <w:tcPr>
            <w:tcW w:w="1276" w:type="dxa"/>
            <w:vAlign w:val="center"/>
          </w:tcPr>
          <w:p w14:paraId="00B8116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1,50</w:t>
            </w:r>
          </w:p>
        </w:tc>
        <w:tc>
          <w:tcPr>
            <w:tcW w:w="1100" w:type="dxa"/>
            <w:vMerge/>
            <w:vAlign w:val="center"/>
          </w:tcPr>
          <w:p w14:paraId="3080EBF8" w14:textId="77777777" w:rsidR="00216474" w:rsidRPr="00483C38" w:rsidRDefault="00216474" w:rsidP="00A44B6D">
            <w:pPr>
              <w:ind w:left="0" w:hanging="2"/>
              <w:jc w:val="center"/>
              <w:rPr>
                <w:rFonts w:ascii="Candara" w:hAnsi="Candara"/>
                <w:sz w:val="20"/>
                <w:szCs w:val="20"/>
              </w:rPr>
            </w:pPr>
          </w:p>
        </w:tc>
      </w:tr>
      <w:tr w:rsidR="00216474" w:rsidRPr="00483C38" w14:paraId="1797AE02" w14:textId="77777777" w:rsidTr="00A44B6D">
        <w:trPr>
          <w:jc w:val="center"/>
        </w:trPr>
        <w:tc>
          <w:tcPr>
            <w:tcW w:w="567" w:type="dxa"/>
          </w:tcPr>
          <w:p w14:paraId="0159FE6E"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9</w:t>
            </w:r>
          </w:p>
        </w:tc>
        <w:tc>
          <w:tcPr>
            <w:tcW w:w="1276" w:type="dxa"/>
            <w:vAlign w:val="center"/>
          </w:tcPr>
          <w:p w14:paraId="7482858B"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J01DD01</w:t>
            </w:r>
          </w:p>
        </w:tc>
        <w:tc>
          <w:tcPr>
            <w:tcW w:w="2410" w:type="dxa"/>
          </w:tcPr>
          <w:p w14:paraId="4E4A1F8E"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Sefotaksim</w:t>
            </w:r>
            <w:proofErr w:type="spellEnd"/>
          </w:p>
        </w:tc>
        <w:tc>
          <w:tcPr>
            <w:tcW w:w="1417" w:type="dxa"/>
            <w:vAlign w:val="center"/>
          </w:tcPr>
          <w:p w14:paraId="0CA96BEC"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1,22</w:t>
            </w:r>
          </w:p>
        </w:tc>
        <w:tc>
          <w:tcPr>
            <w:tcW w:w="1276" w:type="dxa"/>
            <w:vAlign w:val="center"/>
          </w:tcPr>
          <w:p w14:paraId="5A9DEE56"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1,26</w:t>
            </w:r>
          </w:p>
        </w:tc>
        <w:tc>
          <w:tcPr>
            <w:tcW w:w="1100" w:type="dxa"/>
            <w:vMerge/>
            <w:vAlign w:val="center"/>
          </w:tcPr>
          <w:p w14:paraId="77CD3C85" w14:textId="77777777" w:rsidR="00216474" w:rsidRPr="00483C38" w:rsidRDefault="00216474" w:rsidP="00A44B6D">
            <w:pPr>
              <w:ind w:left="0" w:hanging="2"/>
              <w:jc w:val="center"/>
              <w:rPr>
                <w:rFonts w:ascii="Candara" w:hAnsi="Candara"/>
                <w:sz w:val="20"/>
                <w:szCs w:val="20"/>
              </w:rPr>
            </w:pPr>
          </w:p>
        </w:tc>
      </w:tr>
      <w:tr w:rsidR="00216474" w:rsidRPr="00483C38" w14:paraId="3437B74F" w14:textId="77777777" w:rsidTr="00A44B6D">
        <w:trPr>
          <w:trHeight w:val="147"/>
          <w:jc w:val="center"/>
        </w:trPr>
        <w:tc>
          <w:tcPr>
            <w:tcW w:w="567" w:type="dxa"/>
          </w:tcPr>
          <w:p w14:paraId="30FB4796"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10</w:t>
            </w:r>
          </w:p>
        </w:tc>
        <w:tc>
          <w:tcPr>
            <w:tcW w:w="1276" w:type="dxa"/>
            <w:vAlign w:val="center"/>
          </w:tcPr>
          <w:p w14:paraId="32F61C8F"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J01XX01</w:t>
            </w:r>
          </w:p>
        </w:tc>
        <w:tc>
          <w:tcPr>
            <w:tcW w:w="2410" w:type="dxa"/>
          </w:tcPr>
          <w:p w14:paraId="26B27656"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Fosfomisin</w:t>
            </w:r>
            <w:proofErr w:type="spellEnd"/>
          </w:p>
        </w:tc>
        <w:tc>
          <w:tcPr>
            <w:tcW w:w="1417" w:type="dxa"/>
            <w:vAlign w:val="center"/>
          </w:tcPr>
          <w:p w14:paraId="277299A9"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1,00</w:t>
            </w:r>
          </w:p>
        </w:tc>
        <w:tc>
          <w:tcPr>
            <w:tcW w:w="1276" w:type="dxa"/>
            <w:vAlign w:val="center"/>
          </w:tcPr>
          <w:p w14:paraId="727DA8C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1,03</w:t>
            </w:r>
          </w:p>
        </w:tc>
        <w:tc>
          <w:tcPr>
            <w:tcW w:w="1100" w:type="dxa"/>
            <w:vMerge/>
            <w:vAlign w:val="center"/>
          </w:tcPr>
          <w:p w14:paraId="59BFF570" w14:textId="77777777" w:rsidR="00216474" w:rsidRPr="00483C38" w:rsidRDefault="00216474" w:rsidP="00A44B6D">
            <w:pPr>
              <w:ind w:left="0" w:hanging="2"/>
              <w:jc w:val="center"/>
              <w:rPr>
                <w:rFonts w:ascii="Candara" w:hAnsi="Candara"/>
                <w:sz w:val="20"/>
                <w:szCs w:val="20"/>
              </w:rPr>
            </w:pPr>
          </w:p>
        </w:tc>
      </w:tr>
      <w:tr w:rsidR="00216474" w:rsidRPr="00483C38" w14:paraId="18A1942F" w14:textId="77777777" w:rsidTr="00A44B6D">
        <w:trPr>
          <w:jc w:val="center"/>
        </w:trPr>
        <w:tc>
          <w:tcPr>
            <w:tcW w:w="567" w:type="dxa"/>
          </w:tcPr>
          <w:p w14:paraId="58802192" w14:textId="77777777" w:rsidR="00216474" w:rsidRPr="00483C38" w:rsidRDefault="00216474" w:rsidP="00A44B6D">
            <w:pPr>
              <w:ind w:left="0" w:hanging="2"/>
              <w:jc w:val="both"/>
              <w:rPr>
                <w:rFonts w:ascii="Candara" w:hAnsi="Candara"/>
                <w:sz w:val="20"/>
                <w:szCs w:val="20"/>
              </w:rPr>
            </w:pPr>
            <w:r w:rsidRPr="00483C38">
              <w:rPr>
                <w:rFonts w:ascii="Candara" w:hAnsi="Candara"/>
                <w:sz w:val="20"/>
                <w:szCs w:val="20"/>
              </w:rPr>
              <w:t>11</w:t>
            </w:r>
          </w:p>
        </w:tc>
        <w:tc>
          <w:tcPr>
            <w:tcW w:w="1276" w:type="dxa"/>
            <w:vAlign w:val="center"/>
          </w:tcPr>
          <w:p w14:paraId="4694D001"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J01DE01</w:t>
            </w:r>
          </w:p>
        </w:tc>
        <w:tc>
          <w:tcPr>
            <w:tcW w:w="2410" w:type="dxa"/>
          </w:tcPr>
          <w:p w14:paraId="55FC9AC4" w14:textId="77777777" w:rsidR="00216474" w:rsidRPr="00483C38" w:rsidRDefault="00216474" w:rsidP="00A44B6D">
            <w:pPr>
              <w:ind w:left="0" w:hanging="2"/>
              <w:jc w:val="both"/>
              <w:rPr>
                <w:rFonts w:ascii="Candara" w:hAnsi="Candara"/>
                <w:sz w:val="20"/>
                <w:szCs w:val="20"/>
              </w:rPr>
            </w:pPr>
            <w:proofErr w:type="spellStart"/>
            <w:r w:rsidRPr="00483C38">
              <w:rPr>
                <w:rFonts w:ascii="Candara" w:hAnsi="Candara"/>
                <w:sz w:val="20"/>
                <w:szCs w:val="20"/>
              </w:rPr>
              <w:t>Sefepim</w:t>
            </w:r>
            <w:proofErr w:type="spellEnd"/>
          </w:p>
        </w:tc>
        <w:tc>
          <w:tcPr>
            <w:tcW w:w="1417" w:type="dxa"/>
            <w:vAlign w:val="center"/>
          </w:tcPr>
          <w:p w14:paraId="56CA3A54"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0,27</w:t>
            </w:r>
          </w:p>
        </w:tc>
        <w:tc>
          <w:tcPr>
            <w:tcW w:w="1276" w:type="dxa"/>
            <w:vAlign w:val="center"/>
          </w:tcPr>
          <w:p w14:paraId="272C7C4A" w14:textId="77777777" w:rsidR="00216474" w:rsidRPr="00483C38" w:rsidRDefault="00216474" w:rsidP="00A44B6D">
            <w:pPr>
              <w:ind w:left="0" w:hanging="2"/>
              <w:jc w:val="center"/>
              <w:rPr>
                <w:rFonts w:ascii="Candara" w:hAnsi="Candara"/>
                <w:sz w:val="20"/>
                <w:szCs w:val="20"/>
              </w:rPr>
            </w:pPr>
            <w:r w:rsidRPr="00483C38">
              <w:rPr>
                <w:rFonts w:ascii="Candara" w:hAnsi="Candara"/>
                <w:sz w:val="20"/>
                <w:szCs w:val="20"/>
              </w:rPr>
              <w:t>0,28</w:t>
            </w:r>
          </w:p>
        </w:tc>
        <w:tc>
          <w:tcPr>
            <w:tcW w:w="1100" w:type="dxa"/>
            <w:vMerge/>
            <w:vAlign w:val="center"/>
          </w:tcPr>
          <w:p w14:paraId="70A8D934" w14:textId="77777777" w:rsidR="00216474" w:rsidRPr="00483C38" w:rsidRDefault="00216474" w:rsidP="00A44B6D">
            <w:pPr>
              <w:ind w:left="0" w:hanging="2"/>
              <w:jc w:val="center"/>
              <w:rPr>
                <w:rFonts w:ascii="Candara" w:hAnsi="Candara"/>
                <w:sz w:val="20"/>
                <w:szCs w:val="20"/>
              </w:rPr>
            </w:pPr>
          </w:p>
        </w:tc>
      </w:tr>
      <w:tr w:rsidR="00216474" w:rsidRPr="00483C38" w14:paraId="4D5E1CF8" w14:textId="77777777" w:rsidTr="00A44B6D">
        <w:trPr>
          <w:jc w:val="center"/>
        </w:trPr>
        <w:tc>
          <w:tcPr>
            <w:tcW w:w="4253" w:type="dxa"/>
            <w:gridSpan w:val="3"/>
            <w:vAlign w:val="center"/>
          </w:tcPr>
          <w:p w14:paraId="09BE7EF5" w14:textId="3441861A" w:rsidR="00216474" w:rsidRPr="00483C38" w:rsidRDefault="0061409A" w:rsidP="00A44B6D">
            <w:pPr>
              <w:ind w:left="0" w:hanging="2"/>
              <w:jc w:val="center"/>
              <w:rPr>
                <w:rFonts w:ascii="Candara" w:hAnsi="Candara"/>
                <w:sz w:val="20"/>
                <w:szCs w:val="20"/>
              </w:rPr>
            </w:pPr>
            <w:r w:rsidRPr="00483C38">
              <w:rPr>
                <w:rFonts w:ascii="Candara" w:hAnsi="Candara"/>
                <w:b/>
                <w:bCs/>
                <w:sz w:val="20"/>
                <w:szCs w:val="20"/>
              </w:rPr>
              <w:t>Sum</w:t>
            </w:r>
          </w:p>
        </w:tc>
        <w:tc>
          <w:tcPr>
            <w:tcW w:w="1417" w:type="dxa"/>
            <w:vAlign w:val="center"/>
          </w:tcPr>
          <w:p w14:paraId="6C19331A"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96,65</w:t>
            </w:r>
          </w:p>
        </w:tc>
        <w:tc>
          <w:tcPr>
            <w:tcW w:w="1276" w:type="dxa"/>
            <w:vAlign w:val="center"/>
          </w:tcPr>
          <w:p w14:paraId="1DCA4BD5" w14:textId="77777777" w:rsidR="00216474" w:rsidRPr="00483C38" w:rsidRDefault="00216474" w:rsidP="00A44B6D">
            <w:pPr>
              <w:ind w:left="0" w:hanging="2"/>
              <w:jc w:val="center"/>
              <w:rPr>
                <w:rFonts w:ascii="Candara" w:hAnsi="Candara"/>
                <w:b/>
                <w:bCs/>
                <w:sz w:val="20"/>
                <w:szCs w:val="20"/>
              </w:rPr>
            </w:pPr>
            <w:r w:rsidRPr="00483C38">
              <w:rPr>
                <w:rFonts w:ascii="Candara" w:hAnsi="Candara"/>
                <w:b/>
                <w:bCs/>
                <w:sz w:val="20"/>
                <w:szCs w:val="20"/>
              </w:rPr>
              <w:t>100,00</w:t>
            </w:r>
          </w:p>
        </w:tc>
        <w:tc>
          <w:tcPr>
            <w:tcW w:w="1100" w:type="dxa"/>
          </w:tcPr>
          <w:p w14:paraId="74CBE6B1" w14:textId="77777777" w:rsidR="00216474" w:rsidRPr="00483C38" w:rsidRDefault="00216474" w:rsidP="00A44B6D">
            <w:pPr>
              <w:ind w:left="0" w:hanging="2"/>
              <w:rPr>
                <w:rFonts w:ascii="Candara" w:hAnsi="Candara"/>
                <w:sz w:val="20"/>
                <w:szCs w:val="20"/>
              </w:rPr>
            </w:pPr>
          </w:p>
        </w:tc>
      </w:tr>
    </w:tbl>
    <w:p w14:paraId="17A0757F" w14:textId="77777777" w:rsidR="00216474" w:rsidRPr="00483C38" w:rsidRDefault="00216474" w:rsidP="00216474">
      <w:pPr>
        <w:spacing w:line="240" w:lineRule="auto"/>
        <w:ind w:leftChars="0" w:left="0" w:firstLineChars="0" w:firstLine="0"/>
        <w:jc w:val="both"/>
        <w:rPr>
          <w:rFonts w:ascii="Candara" w:hAnsi="Candara"/>
          <w:spacing w:val="1"/>
        </w:rPr>
      </w:pPr>
    </w:p>
    <w:p w14:paraId="5DC6A76F" w14:textId="77777777" w:rsidR="0061409A" w:rsidRPr="00483C38" w:rsidRDefault="0061409A" w:rsidP="00D336E0">
      <w:pPr>
        <w:ind w:left="-2" w:firstLineChars="225" w:firstLine="540"/>
        <w:jc w:val="both"/>
        <w:rPr>
          <w:rFonts w:ascii="Candara" w:hAnsi="Candara"/>
        </w:rPr>
      </w:pPr>
      <w:r w:rsidRPr="00483C38">
        <w:rPr>
          <w:rFonts w:ascii="Candara" w:hAnsi="Candara"/>
        </w:rPr>
        <w:t xml:space="preserve">Table 6 shows that drugs that enter the DU segment 90% after cumulative are levofloxacin (45.60%), followed by </w:t>
      </w:r>
      <w:proofErr w:type="spellStart"/>
      <w:r w:rsidRPr="00483C38">
        <w:rPr>
          <w:rFonts w:ascii="Candara" w:hAnsi="Candara"/>
        </w:rPr>
        <w:t>cetriaxone</w:t>
      </w:r>
      <w:proofErr w:type="spellEnd"/>
      <w:r w:rsidRPr="00483C38">
        <w:rPr>
          <w:rFonts w:ascii="Candara" w:hAnsi="Candara"/>
        </w:rPr>
        <w:t xml:space="preserve"> (21.54%), </w:t>
      </w:r>
      <w:proofErr w:type="spellStart"/>
      <w:r w:rsidRPr="00483C38">
        <w:rPr>
          <w:rFonts w:ascii="Candara" w:hAnsi="Candara"/>
        </w:rPr>
        <w:t>cefoperazon</w:t>
      </w:r>
      <w:proofErr w:type="spellEnd"/>
      <w:r w:rsidRPr="00483C38">
        <w:rPr>
          <w:rFonts w:ascii="Candara" w:hAnsi="Candara"/>
        </w:rPr>
        <w:t xml:space="preserve"> (11.33%), and amoxicillin + clavulanate (9.00%). Drugs that fall into the DU segment are 90% of the most widely used drugs in RSU X in 2019.</w:t>
      </w:r>
    </w:p>
    <w:p w14:paraId="1B0BF446" w14:textId="77777777" w:rsidR="0061409A" w:rsidRPr="00483C38" w:rsidRDefault="0061409A" w:rsidP="0061409A">
      <w:pPr>
        <w:ind w:leftChars="0" w:left="0" w:firstLineChars="0" w:firstLine="0"/>
        <w:jc w:val="both"/>
        <w:rPr>
          <w:rFonts w:ascii="Candara" w:hAnsi="Candara"/>
          <w:b/>
          <w:bCs/>
        </w:rPr>
      </w:pPr>
      <w:r w:rsidRPr="00483C38">
        <w:rPr>
          <w:rFonts w:ascii="Candara" w:hAnsi="Candara"/>
          <w:b/>
          <w:bCs/>
        </w:rPr>
        <w:t>Gender</w:t>
      </w:r>
    </w:p>
    <w:p w14:paraId="39529DF9" w14:textId="57D7CDAA" w:rsidR="0061409A" w:rsidRPr="00483C38" w:rsidRDefault="0061409A" w:rsidP="00D336E0">
      <w:pPr>
        <w:ind w:left="-2" w:firstLineChars="225" w:firstLine="540"/>
        <w:jc w:val="both"/>
        <w:rPr>
          <w:rFonts w:ascii="Candara" w:hAnsi="Candara"/>
        </w:rPr>
      </w:pPr>
      <w:r w:rsidRPr="00483C38">
        <w:rPr>
          <w:rFonts w:ascii="Candara" w:hAnsi="Candara"/>
        </w:rPr>
        <w:t xml:space="preserve">The table above shows the characteristics of urinary tract infection patients hospitalized at </w:t>
      </w:r>
      <w:proofErr w:type="spellStart"/>
      <w:r w:rsidRPr="00483C38">
        <w:rPr>
          <w:rFonts w:ascii="Candara" w:hAnsi="Candara"/>
        </w:rPr>
        <w:t>Budhi</w:t>
      </w:r>
      <w:proofErr w:type="spellEnd"/>
      <w:r w:rsidRPr="00483C38">
        <w:rPr>
          <w:rFonts w:ascii="Candara" w:hAnsi="Candara"/>
        </w:rPr>
        <w:t xml:space="preserve"> Hospital, where the sex of the study subjects was mostly female (62.6%). The results of this study are in accordance with previous research conducted by </w:t>
      </w:r>
      <w:r w:rsidR="00483C38">
        <w:rPr>
          <w:rFonts w:ascii="Candara" w:hAnsi="Candara"/>
        </w:rPr>
        <w:fldChar w:fldCharType="begin" w:fldLock="1"/>
      </w:r>
      <w:r w:rsidR="00483C38">
        <w:rPr>
          <w:rFonts w:ascii="Candara" w:hAnsi="Candara"/>
        </w:rPr>
        <w:instrText>ADDIN CSL_CITATION {"citationItems":[{"id":"ITEM-1","itemData":{"author":[{"dropping-particle":"","family":"Mantu","given":"S A","non-dropping-particle":"","parse-names":false,"suffix":""}],"id":"ITEM-1","issued":{"date-parts":[["2015"]]},"publisher":"Nijmegen: Radboud University Nijmegen","title":"Citizenship in times of terror. Citizenship deprivation in the UK","type":"article-journal"},"uris":["http://www.mendeley.com/documents/?uuid=40de57a2-dd75-4291-8e31-f49ecb32eb7b"]}],"mendeley":{"formattedCitation":"(Mantu, 2015)","plainTextFormattedCitation":"(Mantu, 2015)","previouslyFormattedCitation":"(Mantu, 2015)"},"properties":{"noteIndex":0},"schema":"https://github.com/citation-style-language/schema/raw/master/csl-citation.json"}</w:instrText>
      </w:r>
      <w:r w:rsidR="00483C38">
        <w:rPr>
          <w:rFonts w:ascii="Candara" w:hAnsi="Candara"/>
        </w:rPr>
        <w:fldChar w:fldCharType="separate"/>
      </w:r>
      <w:r w:rsidR="00483C38" w:rsidRPr="00483C38">
        <w:rPr>
          <w:rFonts w:ascii="Candara" w:hAnsi="Candara"/>
          <w:noProof/>
        </w:rPr>
        <w:t>(Mantu, 2015)</w:t>
      </w:r>
      <w:r w:rsidR="00483C38">
        <w:rPr>
          <w:rFonts w:ascii="Candara" w:hAnsi="Candara"/>
        </w:rPr>
        <w:fldChar w:fldCharType="end"/>
      </w:r>
      <w:r w:rsidRPr="00483C38">
        <w:rPr>
          <w:rFonts w:ascii="Candara" w:hAnsi="Candara"/>
        </w:rPr>
        <w:t xml:space="preserve">, </w:t>
      </w:r>
      <w:r w:rsidR="00483C38">
        <w:rPr>
          <w:rFonts w:ascii="Candara" w:hAnsi="Candara"/>
        </w:rPr>
        <w:fldChar w:fldCharType="begin" w:fldLock="1"/>
      </w:r>
      <w:r w:rsidR="00483C38">
        <w:rPr>
          <w:rFonts w:ascii="Candara" w:hAnsi="Candara"/>
        </w:rPr>
        <w:instrText>ADDIN CSL_CITATION {"citationItems":[{"id":"ITEM-1","itemData":{"ISSN":"2581-219X","author":[{"dropping-particle":"","family":"Insani","given":"Yunitia","non-dropping-particle":"","parse-names":false,"suffix":""},{"dropping-particle":"","family":"Wunaini","given":"Nurmulia","non-dropping-particle":"","parse-names":false,"suffix":""}],"container-title":"Jurnal Manajemen Kesehatan Yayasan RS. Dr. Soetomo","id":"ITEM-1","issue":"2","issued":{"date-parts":[["2018"]]},"page":"153-162","title":"Hubungan jarak mata dan intensitas pencahayaan terhadap computer vision syndrome","type":"article-journal","volume":"4"},"uris":["http://www.mendeley.com/documents/?uuid=e41a65f6-e07a-4a67-af3d-7f837f6344cb"]}],"mendeley":{"formattedCitation":"(Insani and Wunaini, 2018)","plainTextFormattedCitation":"(Insani and Wunaini, 2018)","previouslyFormattedCitation":"(Insani and Wunaini, 2018)"},"properties":{"noteIndex":0},"schema":"https://github.com/citation-style-language/schema/raw/master/csl-citation.json"}</w:instrText>
      </w:r>
      <w:r w:rsidR="00483C38">
        <w:rPr>
          <w:rFonts w:ascii="Candara" w:hAnsi="Candara"/>
        </w:rPr>
        <w:fldChar w:fldCharType="separate"/>
      </w:r>
      <w:r w:rsidR="00483C38" w:rsidRPr="00483C38">
        <w:rPr>
          <w:rFonts w:ascii="Candara" w:hAnsi="Candara"/>
          <w:noProof/>
        </w:rPr>
        <w:t>(Insani and Wunaini, 2018)</w:t>
      </w:r>
      <w:r w:rsidR="00483C38">
        <w:rPr>
          <w:rFonts w:ascii="Candara" w:hAnsi="Candara"/>
        </w:rPr>
        <w:fldChar w:fldCharType="end"/>
      </w:r>
      <w:r w:rsidRPr="00483C38">
        <w:rPr>
          <w:rFonts w:ascii="Candara" w:hAnsi="Candara"/>
        </w:rPr>
        <w:t xml:space="preserve">, and </w:t>
      </w:r>
      <w:r w:rsidR="00483C38">
        <w:rPr>
          <w:rFonts w:ascii="Candara" w:hAnsi="Candara"/>
        </w:rPr>
        <w:fldChar w:fldCharType="begin" w:fldLock="1"/>
      </w:r>
      <w:r w:rsidR="00C603CA">
        <w:rPr>
          <w:rFonts w:ascii="Candara" w:hAnsi="Candara"/>
        </w:rPr>
        <w:instrText>ADDIN CSL_CITATION {"citationItems":[{"id":"ITEM-1","itemData":{"ISSN":"0925-4692","author":[{"dropping-particle":"","family":"Tanwar","given":"Himanshi","non-dropping-particle":"","parse-names":false,"suffix":""},{"dropping-particle":"","family":"Shweta","given":"","non-dropping-particle":"","parse-names":false,"suffix":""},{"dropping-particle":"","family":"Singh","given":"Divya","non-dropping-particle":"","parse-names":false,"suffix":""},{"dropping-particle":"","family":"Singh","given":"Shashi Bala","non-dropping-particle":"","parse-names":false,"suffix":""},{"dropping-particle":"","family":"Ganju","given":"Lilly","non-dropping-particle":"","parse-names":false,"suffix":""}],"container-title":"Inflammopharmacology","id":"ITEM-1","issued":{"date-parts":[["2018"]]},"page":"291-301","publisher":"Springer","title":"Anti-inflammatory activity of the functional groups present in Hippophae rhamnoides (Seabuckthorn) leaf extract","type":"article-journal","volume":"26"},"uris":["http://www.mendeley.com/documents/?uuid=c9f52164-ed54-43af-915a-d1cd73db528e"]}],"mendeley":{"formattedCitation":"(Tanwar &lt;i&gt;et al.&lt;/i&gt;, 2018)","plainTextFormattedCitation":"(Tanwar et al., 2018)","previouslyFormattedCitation":"(Tanwar &lt;i&gt;et al.&lt;/i&gt;, 2018)"},"properties":{"noteIndex":0},"schema":"https://github.com/citation-style-language/schema/raw/master/csl-citation.json"}</w:instrText>
      </w:r>
      <w:r w:rsidR="00483C38">
        <w:rPr>
          <w:rFonts w:ascii="Candara" w:hAnsi="Candara"/>
        </w:rPr>
        <w:fldChar w:fldCharType="separate"/>
      </w:r>
      <w:r w:rsidR="00483C38" w:rsidRPr="00483C38">
        <w:rPr>
          <w:rFonts w:ascii="Candara" w:hAnsi="Candara"/>
          <w:noProof/>
        </w:rPr>
        <w:t xml:space="preserve">(Tanwar </w:t>
      </w:r>
      <w:r w:rsidR="00483C38" w:rsidRPr="00483C38">
        <w:rPr>
          <w:rFonts w:ascii="Candara" w:hAnsi="Candara"/>
          <w:i/>
          <w:noProof/>
        </w:rPr>
        <w:t>et al.</w:t>
      </w:r>
      <w:r w:rsidR="00483C38" w:rsidRPr="00483C38">
        <w:rPr>
          <w:rFonts w:ascii="Candara" w:hAnsi="Candara"/>
          <w:noProof/>
        </w:rPr>
        <w:t>, 2018)</w:t>
      </w:r>
      <w:r w:rsidR="00483C38">
        <w:rPr>
          <w:rFonts w:ascii="Candara" w:hAnsi="Candara"/>
        </w:rPr>
        <w:fldChar w:fldCharType="end"/>
      </w:r>
      <w:r w:rsidRPr="00483C38">
        <w:rPr>
          <w:rFonts w:ascii="Candara" w:hAnsi="Candara"/>
        </w:rPr>
        <w:t xml:space="preserve"> which stated that many urinary tract infection patients were female. The results of this study are also in accordance with the results of a Centers for Disease Control (CDC) study in 2007 which showed that about 8.6 million people in America suffer from urinary tract infections, 84% of which occur in women. In addition, data from the World Health Organization (WHO) in 2011 also states that as many as 50% of women have experienced a urinary tract infection in their lives</w:t>
      </w:r>
      <w:r w:rsidR="00C603CA">
        <w:rPr>
          <w:rFonts w:ascii="Candara" w:hAnsi="Candara"/>
        </w:rPr>
        <w:t xml:space="preserve"> </w:t>
      </w:r>
      <w:r w:rsidR="00C603CA">
        <w:rPr>
          <w:rFonts w:ascii="Candara" w:hAnsi="Candara"/>
        </w:rPr>
        <w:fldChar w:fldCharType="begin" w:fldLock="1"/>
      </w:r>
      <w:r w:rsidR="00C603CA">
        <w:rPr>
          <w:rFonts w:ascii="Candara" w:hAnsi="Candara"/>
        </w:rPr>
        <w:instrText>ADDIN CSL_CITATION {"citationItems":[{"id":"ITEM-1","itemData":{"ISSN":"0724-4983","author":[{"dropping-particle":"","family":"Öztürk","given":"Recep","non-dropping-particle":"","parse-names":false,"suffix":""},{"dropping-particle":"","family":"Murt","given":"Ahmet","non-dropping-particle":"","parse-names":false,"suffix":""}],"container-title":"World journal of urology","id":"ITEM-1","issued":{"date-parts":[["2020"]]},"page":"2669-2679","publisher":"Springer","title":"Epidemiology of urological infections: a global burden","type":"article-journal","volume":"38"},"uris":["http://www.mendeley.com/documents/?uuid=39a3d374-f9fa-457a-a83b-77bb1866fbf2"]}],"mendeley":{"formattedCitation":"(Öztürk and Murt, 2020)","plainTextFormattedCitation":"(Öztürk and Murt, 2020)","previouslyFormattedCitation":"(Öztürk and Murt, 2020)"},"properties":{"noteIndex":0},"schema":"https://github.com/citation-style-language/schema/raw/master/csl-citation.json"}</w:instrText>
      </w:r>
      <w:r w:rsidR="00C603CA">
        <w:rPr>
          <w:rFonts w:ascii="Candara" w:hAnsi="Candara"/>
        </w:rPr>
        <w:fldChar w:fldCharType="separate"/>
      </w:r>
      <w:r w:rsidR="00C603CA" w:rsidRPr="00C603CA">
        <w:rPr>
          <w:rFonts w:ascii="Candara" w:hAnsi="Candara"/>
          <w:noProof/>
        </w:rPr>
        <w:t>(Öztürk and Murt, 2020)</w:t>
      </w:r>
      <w:r w:rsidR="00C603CA">
        <w:rPr>
          <w:rFonts w:ascii="Candara" w:hAnsi="Candara"/>
        </w:rPr>
        <w:fldChar w:fldCharType="end"/>
      </w:r>
      <w:r w:rsidRPr="00483C38">
        <w:rPr>
          <w:rFonts w:ascii="Candara" w:hAnsi="Candara"/>
        </w:rPr>
        <w:t>. According to the theory, this happens because of anatomical differences between men and women</w:t>
      </w:r>
      <w:r w:rsidR="00C603CA">
        <w:rPr>
          <w:rFonts w:ascii="Candara" w:hAnsi="Candara"/>
        </w:rPr>
        <w:t xml:space="preserve"> </w:t>
      </w:r>
      <w:r w:rsidR="00C603CA">
        <w:rPr>
          <w:rFonts w:ascii="Candara" w:hAnsi="Candara"/>
        </w:rPr>
        <w:fldChar w:fldCharType="begin" w:fldLock="1"/>
      </w:r>
      <w:r w:rsidR="00C603CA">
        <w:rPr>
          <w:rFonts w:ascii="Candara" w:hAnsi="Candara"/>
        </w:rPr>
        <w:instrText>ADDIN CSL_CITATION {"citationItems":[{"id":"ITEM-1","itemData":{"author":[{"dropping-particle":"","family":"Homey","given":"Karen","non-dropping-particle":"","parse-names":false,"suffix":""}],"container-title":"Female Sexuality","id":"ITEM-1","issued":{"date-parts":[["2018"]]},"page":"107-121","publisher":"Routledge","title":"The flight from womanhood: The masculinity-complex in women, as viewed by men and women","type":"chapter"},"uris":["http://www.mendeley.com/documents/?uuid=dcca286d-a22c-4a9c-b11b-f654b76f8757"]}],"mendeley":{"formattedCitation":"(Homey, 2018)","plainTextFormattedCitation":"(Homey, 2018)","previouslyFormattedCitation":"(Homey, 2018)"},"properties":{"noteIndex":0},"schema":"https://github.com/citation-style-language/schema/raw/master/csl-citation.json"}</w:instrText>
      </w:r>
      <w:r w:rsidR="00C603CA">
        <w:rPr>
          <w:rFonts w:ascii="Candara" w:hAnsi="Candara"/>
        </w:rPr>
        <w:fldChar w:fldCharType="separate"/>
      </w:r>
      <w:r w:rsidR="00C603CA" w:rsidRPr="00C603CA">
        <w:rPr>
          <w:rFonts w:ascii="Candara" w:hAnsi="Candara"/>
          <w:noProof/>
        </w:rPr>
        <w:t>(Homey, 2018)</w:t>
      </w:r>
      <w:r w:rsidR="00C603CA">
        <w:rPr>
          <w:rFonts w:ascii="Candara" w:hAnsi="Candara"/>
        </w:rPr>
        <w:fldChar w:fldCharType="end"/>
      </w:r>
      <w:r w:rsidRPr="00483C38">
        <w:rPr>
          <w:rFonts w:ascii="Candara" w:hAnsi="Candara"/>
        </w:rPr>
        <w:t xml:space="preserve">. Anatomically the length of the female urethra is shorter than that of men, so bacteria from the outside more easily reach the bladder located close </w:t>
      </w:r>
      <w:r w:rsidRPr="00483C38">
        <w:rPr>
          <w:rFonts w:ascii="Candara" w:hAnsi="Candara"/>
        </w:rPr>
        <w:lastRenderedPageBreak/>
        <w:t>to the anus</w:t>
      </w:r>
      <w:r w:rsidR="00C603CA">
        <w:rPr>
          <w:rFonts w:ascii="Candara" w:hAnsi="Candara"/>
        </w:rPr>
        <w:t xml:space="preserve"> </w:t>
      </w:r>
      <w:r w:rsidR="00C603CA">
        <w:rPr>
          <w:rFonts w:ascii="Candara" w:hAnsi="Candara"/>
        </w:rPr>
        <w:fldChar w:fldCharType="begin" w:fldLock="1"/>
      </w:r>
      <w:r w:rsidR="00C603CA">
        <w:rPr>
          <w:rFonts w:ascii="Candara" w:hAnsi="Candara"/>
        </w:rPr>
        <w:instrText>ADDIN CSL_CITATION {"citationItems":[{"id":"ITEM-1","itemData":{"author":[{"dropping-particle":"","family":"Sykes","given":"Jane E","non-dropping-particle":"","parse-names":false,"suffix":""},{"dropping-particle":"","family":"Westropp","given":"Jodi L","non-dropping-particle":"","parse-names":false,"suffix":""}],"container-title":"Canine and feline infectious diseases","id":"ITEM-1","issued":{"date-parts":[["2014"]]},"page":"871","publisher":"Elsevier","title":"Bacterial infections of the genitourinary tract","type":"article-journal"},"uris":["http://www.mendeley.com/documents/?uuid=ae8b9624-c9c3-4b8d-95e4-bccc2de087bb"]}],"mendeley":{"formattedCitation":"(Sykes and Westropp, 2014)","plainTextFormattedCitation":"(Sykes and Westropp, 2014)","previouslyFormattedCitation":"(Sykes and Westropp, 2014)"},"properties":{"noteIndex":0},"schema":"https://github.com/citation-style-language/schema/raw/master/csl-citation.json"}</w:instrText>
      </w:r>
      <w:r w:rsidR="00C603CA">
        <w:rPr>
          <w:rFonts w:ascii="Candara" w:hAnsi="Candara"/>
        </w:rPr>
        <w:fldChar w:fldCharType="separate"/>
      </w:r>
      <w:r w:rsidR="00C603CA" w:rsidRPr="00C603CA">
        <w:rPr>
          <w:rFonts w:ascii="Candara" w:hAnsi="Candara"/>
          <w:noProof/>
        </w:rPr>
        <w:t>(Sykes and Westropp, 2014)</w:t>
      </w:r>
      <w:r w:rsidR="00C603CA">
        <w:rPr>
          <w:rFonts w:ascii="Candara" w:hAnsi="Candara"/>
        </w:rPr>
        <w:fldChar w:fldCharType="end"/>
      </w:r>
      <w:r w:rsidRPr="00483C38">
        <w:rPr>
          <w:rFonts w:ascii="Candara" w:hAnsi="Candara"/>
        </w:rPr>
        <w:t>. While in men urinary tract infections rarely occur, this is because men have prostate fluid whose antibacterial properties can inhibit the growth and entry of bacteria into the urinary tract</w:t>
      </w:r>
      <w:r w:rsidR="00C603CA">
        <w:rPr>
          <w:rFonts w:ascii="Candara" w:hAnsi="Candara"/>
        </w:rPr>
        <w:t xml:space="preserve"> </w:t>
      </w:r>
      <w:r w:rsidR="00C603CA">
        <w:rPr>
          <w:rFonts w:ascii="Candara" w:hAnsi="Candara"/>
        </w:rPr>
        <w:fldChar w:fldCharType="begin" w:fldLock="1"/>
      </w:r>
      <w:r w:rsidR="00C603CA">
        <w:rPr>
          <w:rFonts w:ascii="Candara" w:hAnsi="Candara"/>
        </w:rPr>
        <w:instrText>ADDIN CSL_CITATION {"citationItems":[{"id":"ITEM-1","itemData":{"ISSN":"0263-9319","author":[{"dropping-particle":"","family":"Walsh","given":"Chloe","non-dropping-particle":"","parse-names":false,"suffix":""},{"dropping-particle":"","family":"Collyns","given":"Tim","non-dropping-particle":"","parse-names":false,"suffix":""}],"container-title":"Surgery (Oxford)","id":"ITEM-1","issue":"6","issued":{"date-parts":[["2017"]]},"page":"293-298","publisher":"Elsevier","title":"The pathophysiology of urinary tract infections","type":"article-journal","volume":"35"},"uris":["http://www.mendeley.com/documents/?uuid=03d56a7b-970a-4375-a6a5-437b968d8f8c"]}],"mendeley":{"formattedCitation":"(Walsh and Collyns, 2017)","plainTextFormattedCitation":"(Walsh and Collyns, 2017)","previouslyFormattedCitation":"(Walsh and Collyns, 2017)"},"properties":{"noteIndex":0},"schema":"https://github.com/citation-style-language/schema/raw/master/csl-citation.json"}</w:instrText>
      </w:r>
      <w:r w:rsidR="00C603CA">
        <w:rPr>
          <w:rFonts w:ascii="Candara" w:hAnsi="Candara"/>
        </w:rPr>
        <w:fldChar w:fldCharType="separate"/>
      </w:r>
      <w:r w:rsidR="00C603CA" w:rsidRPr="00C603CA">
        <w:rPr>
          <w:rFonts w:ascii="Candara" w:hAnsi="Candara"/>
          <w:noProof/>
        </w:rPr>
        <w:t>(Walsh and Collyns, 2017)</w:t>
      </w:r>
      <w:r w:rsidR="00C603CA">
        <w:rPr>
          <w:rFonts w:ascii="Candara" w:hAnsi="Candara"/>
        </w:rPr>
        <w:fldChar w:fldCharType="end"/>
      </w:r>
      <w:r w:rsidRPr="00483C38">
        <w:rPr>
          <w:rFonts w:ascii="Candara" w:hAnsi="Candara"/>
        </w:rPr>
        <w:t>.</w:t>
      </w:r>
    </w:p>
    <w:p w14:paraId="0B749D26" w14:textId="3183286F" w:rsidR="00216474" w:rsidRPr="00483C38" w:rsidRDefault="0061409A" w:rsidP="00216474">
      <w:pPr>
        <w:ind w:left="0" w:hanging="2"/>
        <w:rPr>
          <w:rFonts w:ascii="Candara" w:hAnsi="Candara"/>
          <w:b/>
          <w:bCs/>
        </w:rPr>
      </w:pPr>
      <w:r w:rsidRPr="00483C38">
        <w:rPr>
          <w:rFonts w:ascii="Candara" w:hAnsi="Candara"/>
          <w:b/>
          <w:bCs/>
        </w:rPr>
        <w:t>Age</w:t>
      </w:r>
    </w:p>
    <w:p w14:paraId="13AC6B4B" w14:textId="12BD61D6" w:rsidR="0061409A" w:rsidRPr="00483C38" w:rsidRDefault="0061409A" w:rsidP="00DB1773">
      <w:pPr>
        <w:ind w:left="-2" w:firstLineChars="225" w:firstLine="540"/>
        <w:jc w:val="both"/>
        <w:rPr>
          <w:rFonts w:ascii="Candara" w:hAnsi="Candara"/>
        </w:rPr>
      </w:pPr>
      <w:r w:rsidRPr="00483C38">
        <w:rPr>
          <w:rFonts w:ascii="Candara" w:hAnsi="Candara"/>
        </w:rPr>
        <w:t>Based on age, it was found that the most research subjects of urinary tract infection patients at RSU X were the age group of 61-70 years, followed by the age group of 51-60 years, and the age of 41-50 years</w:t>
      </w:r>
      <w:r w:rsidR="00C603CA">
        <w:rPr>
          <w:rFonts w:ascii="Candara" w:hAnsi="Candara"/>
        </w:rPr>
        <w:t xml:space="preserve"> </w:t>
      </w:r>
      <w:r w:rsidR="00C603CA">
        <w:rPr>
          <w:rFonts w:ascii="Candara" w:hAnsi="Candara"/>
        </w:rPr>
        <w:fldChar w:fldCharType="begin" w:fldLock="1"/>
      </w:r>
      <w:r w:rsidR="00C603CA">
        <w:rPr>
          <w:rFonts w:ascii="Candara" w:hAnsi="Candara"/>
        </w:rPr>
        <w:instrText>ADDIN CSL_CITATION {"citationItems":[{"id":"ITEM-1","itemData":{"author":[{"dropping-particle":"","family":"Ramaraj","given":"R","non-dropping-particle":"","parse-names":false,"suffix":""}],"id":"ITEM-1","issued":{"date-parts":[["2014"]]},"publisher":"Tirunelveli Medical College, Tirunelveli","title":"A Study on Nosocomial Infection in Intensive Medical Care Unit-incidence, pattern and etiology","type":"article"},"uris":["http://www.mendeley.com/documents/?uuid=8b04ce57-590b-4219-ae22-75410a340e78"]}],"mendeley":{"formattedCitation":"(Ramaraj, 2014)","plainTextFormattedCitation":"(Ramaraj, 2014)"},"properties":{"noteIndex":0},"schema":"https://github.com/citation-style-language/schema/raw/master/csl-citation.json"}</w:instrText>
      </w:r>
      <w:r w:rsidR="00C603CA">
        <w:rPr>
          <w:rFonts w:ascii="Candara" w:hAnsi="Candara"/>
        </w:rPr>
        <w:fldChar w:fldCharType="separate"/>
      </w:r>
      <w:r w:rsidR="00C603CA" w:rsidRPr="00C603CA">
        <w:rPr>
          <w:rFonts w:ascii="Candara" w:hAnsi="Candara"/>
          <w:noProof/>
        </w:rPr>
        <w:t>(Ramaraj, 2014)</w:t>
      </w:r>
      <w:r w:rsidR="00C603CA">
        <w:rPr>
          <w:rFonts w:ascii="Candara" w:hAnsi="Candara"/>
        </w:rPr>
        <w:fldChar w:fldCharType="end"/>
      </w:r>
      <w:r w:rsidRPr="00483C38">
        <w:rPr>
          <w:rFonts w:ascii="Candara" w:hAnsi="Candara"/>
        </w:rPr>
        <w:t xml:space="preserve">. Based on the research conducted, the results showed that the incidence of urinary tract infections increased at the age of 40 years and over, this is in line with previous research conducted at RSPAD Gatot Subroto Jakarta on the pattern of antibiotic prescribing in urinary tract infection patients in 2018 which stated that urinary tract infections mostly occur at the age of 40 years and over. This is due to a decrease in body resistance in elderly patients, in addition to changes in the urinary system that can reduce the ability to empty the bladder so that urine in the bladder can cause infection23. While urinary tract infections that occur at a young age are generally caused by factors such as lack of maintaining intimate organ hygiene, sexual activity, and the use of contraceptives or spermicidal gels. This is because sexual activity can cause bacteria to enter the female bladder. while the use of spermicide can increase vaginal colonization with </w:t>
      </w:r>
      <w:proofErr w:type="spellStart"/>
      <w:r w:rsidRPr="00483C38">
        <w:rPr>
          <w:rFonts w:ascii="Candara" w:hAnsi="Candara"/>
        </w:rPr>
        <w:t>Eschericia</w:t>
      </w:r>
      <w:proofErr w:type="spellEnd"/>
      <w:r w:rsidRPr="00483C38">
        <w:rPr>
          <w:rFonts w:ascii="Candara" w:hAnsi="Candara"/>
        </w:rPr>
        <w:t xml:space="preserve"> coli bacteria to vaginal epithelial cells24.</w:t>
      </w:r>
    </w:p>
    <w:p w14:paraId="164BF00B" w14:textId="77777777" w:rsidR="0061409A" w:rsidRPr="00483C38" w:rsidRDefault="0061409A" w:rsidP="001B58F3">
      <w:pPr>
        <w:ind w:left="-2" w:firstLineChars="225" w:firstLine="540"/>
        <w:jc w:val="both"/>
        <w:rPr>
          <w:rFonts w:ascii="Candara" w:hAnsi="Candara"/>
        </w:rPr>
      </w:pPr>
      <w:r w:rsidRPr="00483C38">
        <w:rPr>
          <w:rFonts w:ascii="Candara" w:hAnsi="Candara"/>
        </w:rPr>
        <w:t>Generally, risk factors for urinary tract infections can increase in postmenopausal women (women who have passed menopause for one year), because in postmenopausal women there is a decrease in estrogen hormone production which results in increased pH in vaginal fluids thereby increasing the development of microorganisms in the vagina. While in men, the increased incidence of urinary tract infections is caused by anatomical abnormalities such as prostatic hypertrophy, fecal incontinence, and catheterization21.</w:t>
      </w:r>
    </w:p>
    <w:p w14:paraId="7A4493F5" w14:textId="77777777" w:rsidR="0061409A" w:rsidRPr="00483C38" w:rsidRDefault="0061409A" w:rsidP="001B58F3">
      <w:pPr>
        <w:ind w:left="0" w:hanging="2"/>
        <w:rPr>
          <w:rFonts w:ascii="Candara" w:hAnsi="Candara"/>
          <w:b/>
          <w:bCs/>
        </w:rPr>
      </w:pPr>
      <w:r w:rsidRPr="00483C38">
        <w:rPr>
          <w:rFonts w:ascii="Candara" w:hAnsi="Candara"/>
          <w:b/>
          <w:bCs/>
        </w:rPr>
        <w:t>Comorbidities</w:t>
      </w:r>
    </w:p>
    <w:p w14:paraId="33ED2686" w14:textId="77777777" w:rsidR="0061409A" w:rsidRPr="00483C38" w:rsidRDefault="0061409A" w:rsidP="001B58F3">
      <w:pPr>
        <w:ind w:left="-2" w:firstLineChars="225" w:firstLine="540"/>
        <w:jc w:val="both"/>
        <w:rPr>
          <w:rFonts w:ascii="Candara" w:hAnsi="Candara"/>
        </w:rPr>
      </w:pPr>
      <w:r w:rsidRPr="00483C38">
        <w:rPr>
          <w:rFonts w:ascii="Candara" w:hAnsi="Candara"/>
        </w:rPr>
        <w:t>The results showed that more urinary tract infection patients hospitalized at RSU X were accompanied by comorbidities compared to patients without comorbidities. One factor that influences the variety of comorbidities in urinary tract infection patients is the age of patients who are mostly elderly20.</w:t>
      </w:r>
    </w:p>
    <w:p w14:paraId="6B81E6EE" w14:textId="2BEBBAB9" w:rsidR="00216474" w:rsidRPr="00483C38" w:rsidRDefault="0061409A" w:rsidP="00220215">
      <w:pPr>
        <w:ind w:left="-2" w:firstLineChars="225" w:firstLine="540"/>
        <w:jc w:val="both"/>
        <w:rPr>
          <w:rFonts w:ascii="Candara" w:hAnsi="Candara"/>
        </w:rPr>
      </w:pPr>
      <w:r w:rsidRPr="00483C38">
        <w:rPr>
          <w:rFonts w:ascii="Candara" w:hAnsi="Candara"/>
        </w:rPr>
        <w:t xml:space="preserve">The results of this study are in accordance with previous research conducted at RSUD </w:t>
      </w:r>
      <w:proofErr w:type="spellStart"/>
      <w:r w:rsidRPr="00483C38">
        <w:rPr>
          <w:rFonts w:ascii="Candara" w:hAnsi="Candara"/>
        </w:rPr>
        <w:t>Undata</w:t>
      </w:r>
      <w:proofErr w:type="spellEnd"/>
      <w:r w:rsidRPr="00483C38">
        <w:rPr>
          <w:rFonts w:ascii="Candara" w:hAnsi="Candara"/>
        </w:rPr>
        <w:t xml:space="preserve"> Palu on the rationality of using antibiotics in urinary tract infection patients in the inpatient installation of RSUD </w:t>
      </w:r>
      <w:proofErr w:type="spellStart"/>
      <w:r w:rsidRPr="00483C38">
        <w:rPr>
          <w:rFonts w:ascii="Candara" w:hAnsi="Candara"/>
        </w:rPr>
        <w:t>Undata</w:t>
      </w:r>
      <w:proofErr w:type="spellEnd"/>
      <w:r w:rsidRPr="00483C38">
        <w:rPr>
          <w:rFonts w:ascii="Candara" w:hAnsi="Candara"/>
        </w:rPr>
        <w:t xml:space="preserve"> Palu in 2012 which stated that patients with urinary tract infections accompanied by comorbidities were more than without comorbidities25</w:t>
      </w:r>
      <w:r w:rsidR="00216474" w:rsidRPr="00483C38">
        <w:rPr>
          <w:rFonts w:ascii="Candara" w:hAnsi="Candara"/>
        </w:rPr>
        <w:t xml:space="preserve">. </w:t>
      </w:r>
    </w:p>
    <w:p w14:paraId="69F6F516" w14:textId="77777777" w:rsidR="0061409A" w:rsidRPr="00483C38" w:rsidRDefault="0061409A" w:rsidP="00DF4818">
      <w:pPr>
        <w:ind w:left="-2" w:firstLineChars="225" w:firstLine="540"/>
        <w:jc w:val="both"/>
        <w:rPr>
          <w:rFonts w:ascii="Candara" w:hAnsi="Candara"/>
        </w:rPr>
      </w:pPr>
      <w:r w:rsidRPr="00483C38">
        <w:rPr>
          <w:rFonts w:ascii="Candara" w:hAnsi="Candara"/>
        </w:rPr>
        <w:t xml:space="preserve">Based on the data obtained, it shows that the most common types of comorbidities experienced by urinary tract infection patients at RSU X East Jakarta in 2019 are hypokalemia, followed by dyspepsia, diabetes mellitus, hypertension, chronic kidney disease and other diseases. The results of this study are in accordance with research conducted at RSUP DR. Wahidin </w:t>
      </w:r>
      <w:proofErr w:type="spellStart"/>
      <w:r w:rsidRPr="00483C38">
        <w:rPr>
          <w:rFonts w:ascii="Candara" w:hAnsi="Candara"/>
        </w:rPr>
        <w:t>Sudirohusodo</w:t>
      </w:r>
      <w:proofErr w:type="spellEnd"/>
      <w:r w:rsidRPr="00483C38">
        <w:rPr>
          <w:rFonts w:ascii="Candara" w:hAnsi="Candara"/>
        </w:rPr>
        <w:t xml:space="preserve"> on the analysis of the effectiveness and side effects of antibiotics in urinary tract infection patients in 2018 which stated that the comorbidities that occur in many urinary tract infection </w:t>
      </w:r>
      <w:r w:rsidRPr="00483C38">
        <w:rPr>
          <w:rFonts w:ascii="Candara" w:hAnsi="Candara"/>
        </w:rPr>
        <w:lastRenderedPageBreak/>
        <w:t>patients are diabetes mellitus, hypertension, and chronic kidney disease. This is because diabetes can increase blood sugar and blood sugar levels in the urine, causing bacteria to multiply more easily. In addition to diabetes mellitus, hypertension is also a comorbidity that is a risk factor for urinary tract infections, this is because hypertension is one of the causes of chronic kidney disease, where one of the complications of chronic kidney disease is immunological disorders that often cause infections, one of which is urinary tract infections23.</w:t>
      </w:r>
    </w:p>
    <w:p w14:paraId="55F26561" w14:textId="4225330B" w:rsidR="00216474" w:rsidRPr="00483C38" w:rsidRDefault="0061409A" w:rsidP="00220215">
      <w:pPr>
        <w:ind w:left="-2" w:firstLineChars="225" w:firstLine="540"/>
        <w:jc w:val="both"/>
        <w:rPr>
          <w:rFonts w:ascii="Candara" w:hAnsi="Candara"/>
        </w:rPr>
      </w:pPr>
      <w:r w:rsidRPr="00483C38">
        <w:rPr>
          <w:rFonts w:ascii="Candara" w:hAnsi="Candara"/>
        </w:rPr>
        <w:t xml:space="preserve">But in this study the most comorbidities in patients with urinary tract infections were hypokalemia. According to research conducted by (Nathania, 2018) hypokalemia can be caused by several conditions such as diabetes, kidney disease, chronic diarrhea, alcohol withdrawal, hyperthyroidism, acute </w:t>
      </w:r>
      <w:proofErr w:type="spellStart"/>
      <w:r w:rsidRPr="00483C38">
        <w:rPr>
          <w:rFonts w:ascii="Candara" w:hAnsi="Candara"/>
        </w:rPr>
        <w:t>myocard</w:t>
      </w:r>
      <w:proofErr w:type="spellEnd"/>
      <w:r w:rsidRPr="00483C38">
        <w:rPr>
          <w:rFonts w:ascii="Candara" w:hAnsi="Candara"/>
        </w:rPr>
        <w:t xml:space="preserve"> infarction, severe head injury, and the use of certain drugs26, where in this study there are several comorbidities that are at risk of causing hypokalemia in patients with urinary tract infections, namely diabetes mellitus, chronic kidney disease, acute kidney disease,  diabetic ketoacidosis, kidney stones, renal colic, bilateral </w:t>
      </w:r>
      <w:proofErr w:type="spellStart"/>
      <w:r w:rsidRPr="00483C38">
        <w:rPr>
          <w:rFonts w:ascii="Candara" w:hAnsi="Candara"/>
        </w:rPr>
        <w:t>nephroxisk</w:t>
      </w:r>
      <w:proofErr w:type="spellEnd"/>
      <w:r w:rsidRPr="00483C38">
        <w:rPr>
          <w:rFonts w:ascii="Candara" w:hAnsi="Candara"/>
        </w:rPr>
        <w:t>, renal cyst, renal abscess, contracted kidney, and nephritis for a total amount of 20.1%.</w:t>
      </w:r>
    </w:p>
    <w:p w14:paraId="752E1D1D" w14:textId="77777777" w:rsidR="0061409A" w:rsidRPr="00483C38" w:rsidRDefault="0061409A" w:rsidP="00FA00D0">
      <w:pPr>
        <w:ind w:left="0" w:hanging="2"/>
        <w:rPr>
          <w:rFonts w:ascii="Candara" w:hAnsi="Candara"/>
          <w:b/>
          <w:bCs/>
        </w:rPr>
      </w:pPr>
      <w:r w:rsidRPr="00483C38">
        <w:rPr>
          <w:rFonts w:ascii="Candara" w:hAnsi="Candara"/>
          <w:b/>
          <w:bCs/>
        </w:rPr>
        <w:t>Length of day Rawat</w:t>
      </w:r>
    </w:p>
    <w:p w14:paraId="051FEA82" w14:textId="77777777" w:rsidR="0061409A" w:rsidRPr="00483C38" w:rsidRDefault="0061409A" w:rsidP="00FA00D0">
      <w:pPr>
        <w:ind w:left="-2" w:firstLineChars="225" w:firstLine="540"/>
        <w:jc w:val="both"/>
        <w:rPr>
          <w:rFonts w:ascii="Candara" w:hAnsi="Candara"/>
        </w:rPr>
      </w:pPr>
      <w:r w:rsidRPr="00483C38">
        <w:rPr>
          <w:rFonts w:ascii="Candara" w:hAnsi="Candara"/>
        </w:rPr>
        <w:t xml:space="preserve">Based on the length of hospitalization days, the results showed that the percentage of urinary tract infection patients who underwent hospitalization at RSU X was at most around 4-7 days. The results of this study are almost the same as research conducted at </w:t>
      </w:r>
      <w:proofErr w:type="spellStart"/>
      <w:r w:rsidRPr="00483C38">
        <w:rPr>
          <w:rFonts w:ascii="Candara" w:hAnsi="Candara"/>
        </w:rPr>
        <w:t>Undata</w:t>
      </w:r>
      <w:proofErr w:type="spellEnd"/>
      <w:r w:rsidRPr="00483C38">
        <w:rPr>
          <w:rFonts w:ascii="Candara" w:hAnsi="Candara"/>
        </w:rPr>
        <w:t xml:space="preserve"> Hospital Palu in 2012 on urinary tract infection (UTI) patients, the results showed the length of the most days of hospitalization more than 3 days25. According to the general theory, the condition of urinary tract infection patients without comorbidities will improve after the use of 3-day antibiotic therapy. The length of hospitalization days that are more than 3 days is caused because most patients are accompanied by other diseases that can aggravate infectious conditions, thus prolonging the healing process 20.</w:t>
      </w:r>
    </w:p>
    <w:p w14:paraId="34743234" w14:textId="77777777" w:rsidR="0061409A" w:rsidRPr="00483C38" w:rsidRDefault="0061409A" w:rsidP="00FA00D0">
      <w:pPr>
        <w:ind w:left="0" w:hanging="2"/>
        <w:rPr>
          <w:rFonts w:ascii="Candara" w:hAnsi="Candara"/>
          <w:b/>
          <w:bCs/>
        </w:rPr>
      </w:pPr>
      <w:r w:rsidRPr="00483C38">
        <w:rPr>
          <w:rFonts w:ascii="Candara" w:hAnsi="Candara"/>
          <w:b/>
          <w:bCs/>
        </w:rPr>
        <w:t>Distribution of Antibiotic Therapy Use Profile</w:t>
      </w:r>
    </w:p>
    <w:p w14:paraId="68B6B879" w14:textId="77777777" w:rsidR="0061409A" w:rsidRPr="00483C38" w:rsidRDefault="0061409A" w:rsidP="00FA00D0">
      <w:pPr>
        <w:ind w:left="-2" w:firstLineChars="225" w:firstLine="540"/>
        <w:jc w:val="both"/>
        <w:rPr>
          <w:rFonts w:ascii="Candara" w:hAnsi="Candara"/>
        </w:rPr>
      </w:pPr>
      <w:r w:rsidRPr="00483C38">
        <w:rPr>
          <w:rFonts w:ascii="Candara" w:hAnsi="Candara"/>
        </w:rPr>
        <w:t xml:space="preserve">The distribution of antibiotic therapy use profiles aims to determine what antibiotics are used by urinary tract infection patients in the inpatient installation of RSU X 2019. </w:t>
      </w:r>
    </w:p>
    <w:p w14:paraId="360F0B8A" w14:textId="77777777" w:rsidR="0061409A" w:rsidRPr="00483C38" w:rsidRDefault="0061409A" w:rsidP="003442DA">
      <w:pPr>
        <w:ind w:left="-2" w:firstLineChars="225" w:firstLine="540"/>
        <w:jc w:val="both"/>
        <w:rPr>
          <w:rFonts w:ascii="Candara" w:hAnsi="Candara"/>
        </w:rPr>
      </w:pPr>
      <w:r w:rsidRPr="00483C38">
        <w:rPr>
          <w:rFonts w:ascii="Candara" w:hAnsi="Candara"/>
        </w:rPr>
        <w:t xml:space="preserve">The results in this study showed that patients received more single therapy than combination therapy, where the most antibiotic used as monotherapy was levofloxacin. As for combination therapy, the antibiotics used are amoxicillin, clavulanate plus levofloxacin and levofloxacin plus ceftriaxone. This is </w:t>
      </w:r>
      <w:proofErr w:type="gramStart"/>
      <w:r w:rsidRPr="00483C38">
        <w:rPr>
          <w:rFonts w:ascii="Candara" w:hAnsi="Candara"/>
        </w:rPr>
        <w:t>similar to</w:t>
      </w:r>
      <w:proofErr w:type="gramEnd"/>
      <w:r w:rsidRPr="00483C38">
        <w:rPr>
          <w:rFonts w:ascii="Candara" w:hAnsi="Candara"/>
        </w:rPr>
        <w:t xml:space="preserve"> research conducted at </w:t>
      </w:r>
      <w:proofErr w:type="spellStart"/>
      <w:r w:rsidRPr="00483C38">
        <w:rPr>
          <w:rFonts w:ascii="Candara" w:hAnsi="Candara"/>
        </w:rPr>
        <w:t>Roemani</w:t>
      </w:r>
      <w:proofErr w:type="spellEnd"/>
      <w:r w:rsidRPr="00483C38">
        <w:rPr>
          <w:rFonts w:ascii="Candara" w:hAnsi="Candara"/>
        </w:rPr>
        <w:t xml:space="preserve"> Hospital Semarang in 2015, giving antibiotic monotherapy to urinary tract infection patients is more widely used than combination therapy27.</w:t>
      </w:r>
    </w:p>
    <w:p w14:paraId="7A3A6FAA" w14:textId="77777777" w:rsidR="0061409A" w:rsidRPr="00483C38" w:rsidRDefault="0061409A" w:rsidP="003442DA">
      <w:pPr>
        <w:ind w:left="-2" w:firstLineChars="225" w:firstLine="540"/>
        <w:jc w:val="both"/>
        <w:rPr>
          <w:rFonts w:ascii="Candara" w:hAnsi="Candara"/>
        </w:rPr>
      </w:pPr>
      <w:r w:rsidRPr="00483C38">
        <w:rPr>
          <w:rFonts w:ascii="Candara" w:hAnsi="Candara"/>
        </w:rPr>
        <w:t xml:space="preserve">According to guidelines for the management of urinary tract infections and male genitalia, monotherapy is generally given to urinary tract infection patients who do not experience anatomical structural abnormalities3. While combination therapy is usually used to achieve effective drug action, because the right combination will provide better clinical benefits. In addition, combination therapy can also provide a </w:t>
      </w:r>
      <w:r w:rsidRPr="00483C38">
        <w:rPr>
          <w:rFonts w:ascii="Candara" w:hAnsi="Candara"/>
        </w:rPr>
        <w:lastRenderedPageBreak/>
        <w:t xml:space="preserve">synergistic effect and inhibit the emergence of bacterial resistance to the antibiotics used28. </w:t>
      </w:r>
    </w:p>
    <w:p w14:paraId="35C72191" w14:textId="1CAAB775" w:rsidR="00220215" w:rsidRPr="00483C38" w:rsidRDefault="0061409A" w:rsidP="0061409A">
      <w:pPr>
        <w:ind w:left="-2" w:firstLineChars="225" w:firstLine="540"/>
        <w:jc w:val="both"/>
        <w:rPr>
          <w:rFonts w:ascii="Candara" w:hAnsi="Candara"/>
        </w:rPr>
      </w:pPr>
      <w:r w:rsidRPr="00483C38">
        <w:rPr>
          <w:rFonts w:ascii="Candara" w:hAnsi="Candara"/>
        </w:rPr>
        <w:t xml:space="preserve">In choosing antibiotics as therapy in urinary tract infection patients, there are generally several things that are taken into consideration </w:t>
      </w:r>
      <w:proofErr w:type="gramStart"/>
      <w:r w:rsidRPr="00483C38">
        <w:rPr>
          <w:rFonts w:ascii="Candara" w:hAnsi="Candara"/>
        </w:rPr>
        <w:t>in order to</w:t>
      </w:r>
      <w:proofErr w:type="gramEnd"/>
      <w:r w:rsidRPr="00483C38">
        <w:rPr>
          <w:rFonts w:ascii="Candara" w:hAnsi="Candara"/>
        </w:rPr>
        <w:t xml:space="preserve"> achieve optimal therapy, including antibiotic sensitivity, the risk of side effects, and the risk of bacterial resistance to antibiotics. Therefore, to achieve this, it can be done the selection of treatment with monotherapy or combination therapy4</w:t>
      </w:r>
      <w:r w:rsidR="00216474" w:rsidRPr="00483C38">
        <w:rPr>
          <w:rFonts w:ascii="Candara" w:hAnsi="Candara"/>
        </w:rPr>
        <w:t>.</w:t>
      </w:r>
    </w:p>
    <w:p w14:paraId="68407994" w14:textId="77777777" w:rsidR="0061409A" w:rsidRPr="00483C38" w:rsidRDefault="0061409A" w:rsidP="00632402">
      <w:pPr>
        <w:ind w:left="0" w:hanging="2"/>
        <w:rPr>
          <w:rFonts w:ascii="Candara" w:hAnsi="Candara"/>
          <w:b/>
          <w:bCs/>
        </w:rPr>
      </w:pPr>
      <w:r w:rsidRPr="00483C38">
        <w:rPr>
          <w:rFonts w:ascii="Candara" w:hAnsi="Candara"/>
          <w:b/>
          <w:bCs/>
        </w:rPr>
        <w:t>Evaluation of the use of antibiotics in quantity in DDD units</w:t>
      </w:r>
    </w:p>
    <w:p w14:paraId="0C8509CC" w14:textId="77777777" w:rsidR="0061409A" w:rsidRPr="00483C38" w:rsidRDefault="0061409A" w:rsidP="00632402">
      <w:pPr>
        <w:ind w:left="-2" w:firstLineChars="225" w:firstLine="540"/>
        <w:jc w:val="both"/>
        <w:rPr>
          <w:rFonts w:ascii="Candara" w:hAnsi="Candara"/>
        </w:rPr>
      </w:pPr>
      <w:r w:rsidRPr="00483C38">
        <w:rPr>
          <w:rFonts w:ascii="Candara" w:hAnsi="Candara"/>
        </w:rPr>
        <w:t>In this study, the dosage form of antibiotics with peroral and parenteral routes had the same Defined Daily Dose value. During 2019, there are 11 types of antibiotics from 5 classes of antibiotics used in urinary tract infection patients, namely penicillin antibiotics, cephalosporins, fluoroquinolones, carbapenems, and other groups.</w:t>
      </w:r>
    </w:p>
    <w:p w14:paraId="66D58138" w14:textId="77777777" w:rsidR="0061409A" w:rsidRPr="00483C38" w:rsidRDefault="0061409A" w:rsidP="00632402">
      <w:pPr>
        <w:ind w:left="-2" w:firstLineChars="225" w:firstLine="540"/>
        <w:jc w:val="both"/>
        <w:rPr>
          <w:rFonts w:ascii="Candara" w:hAnsi="Candara"/>
        </w:rPr>
      </w:pPr>
      <w:r w:rsidRPr="00483C38">
        <w:rPr>
          <w:rFonts w:ascii="Candara" w:hAnsi="Candara"/>
        </w:rPr>
        <w:t xml:space="preserve">During the year 2019 from January to December, the total number of inpatient days (Length of Stay) of 115 patients was 552 days shown in table 4. The total LOS used in this study is for the calculation of DDD as a divisor with the DDD standard value from WHO. </w:t>
      </w:r>
    </w:p>
    <w:p w14:paraId="27CB1E55" w14:textId="77777777" w:rsidR="0061409A" w:rsidRPr="00483C38" w:rsidRDefault="0061409A" w:rsidP="00632402">
      <w:pPr>
        <w:ind w:left="-2" w:firstLineChars="225" w:firstLine="540"/>
        <w:jc w:val="both"/>
        <w:rPr>
          <w:rFonts w:ascii="Candara" w:hAnsi="Candara"/>
        </w:rPr>
      </w:pPr>
      <w:r w:rsidRPr="00483C38">
        <w:rPr>
          <w:rFonts w:ascii="Candara" w:hAnsi="Candara"/>
        </w:rPr>
        <w:t>The quantity of antibiotic use at RSU X East Jakarta in units of DDD/100 patient-days is shown in table 4. The quantity of antibiotic use that had the highest amount in 2019 was levofloxacin. DDD calculation for levofloxacin in 2019 reached 44.07 DDD/100 patient-days. This showed that there were 44 patients from all study subjects who consumed 1 DDD levofloxacin of 0.5 grams daily.</w:t>
      </w:r>
    </w:p>
    <w:p w14:paraId="36576651" w14:textId="77777777" w:rsidR="0061409A" w:rsidRPr="00483C38" w:rsidRDefault="0061409A" w:rsidP="00632402">
      <w:pPr>
        <w:ind w:left="-2" w:firstLineChars="225" w:firstLine="540"/>
        <w:jc w:val="both"/>
        <w:rPr>
          <w:rFonts w:ascii="Candara" w:hAnsi="Candara"/>
        </w:rPr>
      </w:pPr>
      <w:r w:rsidRPr="00483C38">
        <w:rPr>
          <w:rFonts w:ascii="Candara" w:hAnsi="Candara"/>
        </w:rPr>
        <w:t>Levofloxacin is a third-generation fluoroquinolone broad-spectrum antibiotic with better activity against gram-positive bacteria and has a lower level of bacterial resistance to antibiotics than other fluoroquinolones, this is because many studies show that as many as 20-30% of bacteria that cause urinary tract infections are resistant to fluoroquinolone antibiotics, especially ciprofloxacin29,30.</w:t>
      </w:r>
    </w:p>
    <w:p w14:paraId="67A1C00E" w14:textId="51FCF72F" w:rsidR="00216474" w:rsidRPr="00483C38" w:rsidRDefault="0061409A" w:rsidP="00220215">
      <w:pPr>
        <w:ind w:left="-2" w:firstLineChars="225" w:firstLine="540"/>
        <w:jc w:val="both"/>
        <w:rPr>
          <w:rFonts w:ascii="Candara" w:hAnsi="Candara"/>
        </w:rPr>
      </w:pPr>
      <w:r w:rsidRPr="00483C38">
        <w:rPr>
          <w:rFonts w:ascii="Candara" w:hAnsi="Candara"/>
        </w:rPr>
        <w:t xml:space="preserve">Levofloxacin is an antibiotic recommended as empirical therapy in urinary tract infection patients, because levofloxacin can reach expected levels both in serum and in urine, besides levofloxacin is also included in the list of national formularies in 2018 as a therapy for urinary tract infections28,31. </w:t>
      </w:r>
    </w:p>
    <w:p w14:paraId="00142F8C" w14:textId="77777777" w:rsidR="0061409A" w:rsidRPr="00483C38" w:rsidRDefault="0061409A" w:rsidP="00170C47">
      <w:pPr>
        <w:ind w:left="-2" w:firstLineChars="225" w:firstLine="540"/>
        <w:jc w:val="both"/>
        <w:rPr>
          <w:rFonts w:ascii="Candara" w:hAnsi="Candara"/>
        </w:rPr>
      </w:pPr>
      <w:r w:rsidRPr="00483C38">
        <w:rPr>
          <w:rFonts w:ascii="Candara" w:hAnsi="Candara"/>
        </w:rPr>
        <w:t xml:space="preserve">The mechanism of action of levofloxacin as an antibiotic is by inhibiting the formation of bacterial DNA by inhibiting topoisomerase II (DNA gyrase which functions to maintain </w:t>
      </w:r>
      <w:proofErr w:type="spellStart"/>
      <w:r w:rsidRPr="00483C38">
        <w:rPr>
          <w:rFonts w:ascii="Candara" w:hAnsi="Candara"/>
        </w:rPr>
        <w:t>superhelical</w:t>
      </w:r>
      <w:proofErr w:type="spellEnd"/>
      <w:r w:rsidRPr="00483C38">
        <w:rPr>
          <w:rFonts w:ascii="Candara" w:hAnsi="Candara"/>
        </w:rPr>
        <w:t xml:space="preserve"> bacterial DNA needed for DNA replication and transcription, DNA repair, recombination, and transition) and bacterial topoisomerase IV </w:t>
      </w:r>
      <w:proofErr w:type="gramStart"/>
      <w:r w:rsidRPr="00483C38">
        <w:rPr>
          <w:rFonts w:ascii="Candara" w:hAnsi="Candara"/>
        </w:rPr>
        <w:t>so as to</w:t>
      </w:r>
      <w:proofErr w:type="gramEnd"/>
      <w:r w:rsidRPr="00483C38">
        <w:rPr>
          <w:rFonts w:ascii="Candara" w:hAnsi="Candara"/>
        </w:rPr>
        <w:t xml:space="preserve"> prevent relaxation of DNA chains needed for transcription and replication. </w:t>
      </w:r>
    </w:p>
    <w:p w14:paraId="2170B26D" w14:textId="77777777" w:rsidR="0061409A" w:rsidRPr="00483C38" w:rsidRDefault="0061409A" w:rsidP="00170C47">
      <w:pPr>
        <w:ind w:left="-2" w:firstLineChars="225" w:firstLine="540"/>
        <w:jc w:val="both"/>
        <w:rPr>
          <w:rFonts w:ascii="Candara" w:hAnsi="Candara"/>
        </w:rPr>
      </w:pPr>
      <w:r w:rsidRPr="00483C38">
        <w:rPr>
          <w:rFonts w:ascii="Candara" w:hAnsi="Candara"/>
        </w:rPr>
        <w:t xml:space="preserve">Levofloxacin has a peak action of 1-2 hours, excreted through the kidneys, and has a relatively long half-life of 6-8 hours, so it can be given at a dose once a day32,33. </w:t>
      </w:r>
    </w:p>
    <w:p w14:paraId="7B79CBA6" w14:textId="77777777" w:rsidR="0061409A" w:rsidRPr="00483C38" w:rsidRDefault="0061409A" w:rsidP="00170C47">
      <w:pPr>
        <w:ind w:left="-2" w:firstLineChars="225" w:firstLine="540"/>
        <w:jc w:val="both"/>
        <w:rPr>
          <w:rFonts w:ascii="Candara" w:hAnsi="Candara"/>
        </w:rPr>
      </w:pPr>
      <w:r w:rsidRPr="00483C38">
        <w:rPr>
          <w:rFonts w:ascii="Candara" w:hAnsi="Candara"/>
        </w:rPr>
        <w:t xml:space="preserve">Levofloxacin is a third-generation fluoroquinolone group broad-spectrum antibiotic with better activity against gram-positive bacteria and has a lower level of bacterial resistance to antibiotics than fluoroquinolone and others. </w:t>
      </w:r>
    </w:p>
    <w:p w14:paraId="0A8694CC" w14:textId="77777777" w:rsidR="0061409A" w:rsidRPr="00483C38" w:rsidRDefault="0061409A" w:rsidP="00170C47">
      <w:pPr>
        <w:ind w:left="-2" w:firstLineChars="225" w:firstLine="540"/>
        <w:jc w:val="both"/>
        <w:rPr>
          <w:rFonts w:ascii="Candara" w:hAnsi="Candara"/>
        </w:rPr>
      </w:pPr>
      <w:r w:rsidRPr="00483C38">
        <w:rPr>
          <w:rFonts w:ascii="Candara" w:hAnsi="Candara"/>
        </w:rPr>
        <w:t xml:space="preserve">The results of other studies showed that about 20-30% of bacteria that cause urinary tract infections are resistant to fluoroquinolone antibiotics, especially ciprofloxacin 29.30. </w:t>
      </w:r>
    </w:p>
    <w:p w14:paraId="68070264" w14:textId="77777777" w:rsidR="0061409A" w:rsidRPr="00483C38" w:rsidRDefault="0061409A" w:rsidP="00170C47">
      <w:pPr>
        <w:ind w:left="0" w:hanging="2"/>
        <w:rPr>
          <w:rFonts w:ascii="Candara" w:hAnsi="Candara"/>
          <w:b/>
          <w:bCs/>
        </w:rPr>
      </w:pPr>
      <w:r w:rsidRPr="00483C38">
        <w:rPr>
          <w:rFonts w:ascii="Candara" w:hAnsi="Candara"/>
          <w:b/>
          <w:bCs/>
        </w:rPr>
        <w:lastRenderedPageBreak/>
        <w:t>Antibiotic Use Profile Based on DU 90%</w:t>
      </w:r>
    </w:p>
    <w:p w14:paraId="687035D7" w14:textId="6FF39D94" w:rsidR="00216474" w:rsidRPr="00483C38" w:rsidRDefault="0061409A" w:rsidP="00220215">
      <w:pPr>
        <w:ind w:left="-2" w:firstLineChars="225" w:firstLine="540"/>
        <w:jc w:val="both"/>
        <w:rPr>
          <w:rFonts w:ascii="Candara" w:hAnsi="Candara"/>
        </w:rPr>
      </w:pPr>
      <w:r w:rsidRPr="00483C38">
        <w:rPr>
          <w:rFonts w:ascii="Candara" w:hAnsi="Candara"/>
        </w:rPr>
        <w:t>Drug Utilization (DU) 90% is obtained by dividing the number of DDD/100 patient-days, based on the type of antibiotic used at RSU X in East Jakarta by the total DDD/100 patient-days of all antibiotics used then at 100% times. The percentage of antibiotic use is further cumulative and sorted from the highest percentage to the lowest percentage.</w:t>
      </w:r>
      <w:r w:rsidR="00216474" w:rsidRPr="00483C38">
        <w:rPr>
          <w:rFonts w:ascii="Candara" w:hAnsi="Candara"/>
        </w:rPr>
        <w:t xml:space="preserve"> </w:t>
      </w:r>
    </w:p>
    <w:p w14:paraId="1875C3F6" w14:textId="77777777" w:rsidR="0061409A" w:rsidRPr="00483C38" w:rsidRDefault="0061409A" w:rsidP="00EB183E">
      <w:pPr>
        <w:ind w:left="-2" w:firstLineChars="225" w:firstLine="540"/>
        <w:jc w:val="both"/>
        <w:rPr>
          <w:rFonts w:ascii="Candara" w:hAnsi="Candara"/>
        </w:rPr>
      </w:pPr>
      <w:r w:rsidRPr="00483C38">
        <w:rPr>
          <w:rFonts w:ascii="Candara" w:hAnsi="Candara"/>
        </w:rPr>
        <w:t>Drugs that enter the DU segment 90% are drugs that enter the accumulation of 90% on use. The DU profile of 90% of antibiotic use based on antibiotic type in RSU X 2019 can be seen in table 6.</w:t>
      </w:r>
    </w:p>
    <w:p w14:paraId="78EB7D45" w14:textId="77777777" w:rsidR="0061409A" w:rsidRPr="00483C38" w:rsidRDefault="0061409A" w:rsidP="00EB183E">
      <w:pPr>
        <w:ind w:left="-2" w:firstLineChars="225" w:firstLine="540"/>
        <w:jc w:val="both"/>
        <w:rPr>
          <w:rFonts w:ascii="Candara" w:hAnsi="Candara"/>
        </w:rPr>
      </w:pPr>
      <w:r w:rsidRPr="00483C38">
        <w:rPr>
          <w:rFonts w:ascii="Candara" w:hAnsi="Candara"/>
        </w:rPr>
        <w:t xml:space="preserve">Table 6 shows that antibiotics that fall into the segment of 90% use (DU 90%) consist of levofloxacin (45.60%), ceftriaxone (21.54%), </w:t>
      </w:r>
      <w:proofErr w:type="spellStart"/>
      <w:r w:rsidRPr="00483C38">
        <w:rPr>
          <w:rFonts w:ascii="Candara" w:hAnsi="Candara"/>
        </w:rPr>
        <w:t>cefoperazon</w:t>
      </w:r>
      <w:proofErr w:type="spellEnd"/>
      <w:r w:rsidRPr="00483C38">
        <w:rPr>
          <w:rFonts w:ascii="Candara" w:hAnsi="Candara"/>
        </w:rPr>
        <w:t xml:space="preserve"> (11.33%), amoxicillin clavulanate (9.00%). While antibiotics included in the 10% DU segment are meropenem (3.56%), cefixime (3.03%), </w:t>
      </w:r>
      <w:proofErr w:type="spellStart"/>
      <w:r w:rsidRPr="00483C38">
        <w:rPr>
          <w:rFonts w:ascii="Candara" w:hAnsi="Candara"/>
        </w:rPr>
        <w:t>cefoperazon</w:t>
      </w:r>
      <w:proofErr w:type="spellEnd"/>
      <w:r w:rsidRPr="00483C38">
        <w:rPr>
          <w:rFonts w:ascii="Candara" w:hAnsi="Candara"/>
        </w:rPr>
        <w:t xml:space="preserve"> sulbactam (1.87%), ampicillin sulbactam (1.50%), cefotaxime (1.26%), </w:t>
      </w:r>
      <w:proofErr w:type="spellStart"/>
      <w:r w:rsidRPr="00483C38">
        <w:rPr>
          <w:rFonts w:ascii="Candara" w:hAnsi="Candara"/>
        </w:rPr>
        <w:t>phosphomycin</w:t>
      </w:r>
      <w:proofErr w:type="spellEnd"/>
      <w:r w:rsidRPr="00483C38">
        <w:rPr>
          <w:rFonts w:ascii="Candara" w:hAnsi="Candara"/>
        </w:rPr>
        <w:t xml:space="preserve"> (1.03%), and </w:t>
      </w:r>
      <w:proofErr w:type="spellStart"/>
      <w:r w:rsidRPr="00483C38">
        <w:rPr>
          <w:rFonts w:ascii="Candara" w:hAnsi="Candara"/>
        </w:rPr>
        <w:t>cefepim</w:t>
      </w:r>
      <w:proofErr w:type="spellEnd"/>
      <w:r w:rsidRPr="00483C38">
        <w:rPr>
          <w:rFonts w:ascii="Candara" w:hAnsi="Candara"/>
        </w:rPr>
        <w:t xml:space="preserve"> (0.28%). The results of this study are different from the research conducted at Dr. </w:t>
      </w:r>
      <w:proofErr w:type="spellStart"/>
      <w:r w:rsidRPr="00483C38">
        <w:rPr>
          <w:rFonts w:ascii="Candara" w:hAnsi="Candara"/>
        </w:rPr>
        <w:t>Moewardi</w:t>
      </w:r>
      <w:proofErr w:type="spellEnd"/>
      <w:r w:rsidRPr="00483C38">
        <w:rPr>
          <w:rFonts w:ascii="Candara" w:hAnsi="Candara"/>
        </w:rPr>
        <w:t xml:space="preserve"> hospital which showed that antibiotics with 90% DU in the hospital were ceftriaxone (63.97%), levofloxacin (24.42%), ciprofloxacin (4.34%), meropenem (3.49%), </w:t>
      </w:r>
      <w:proofErr w:type="spellStart"/>
      <w:r w:rsidRPr="00483C38">
        <w:rPr>
          <w:rFonts w:ascii="Candara" w:hAnsi="Candara"/>
        </w:rPr>
        <w:t>cefoperazon</w:t>
      </w:r>
      <w:proofErr w:type="spellEnd"/>
      <w:r w:rsidRPr="00483C38">
        <w:rPr>
          <w:rFonts w:ascii="Candara" w:hAnsi="Candara"/>
        </w:rPr>
        <w:t xml:space="preserve"> + sulbactam (2.76%), </w:t>
      </w:r>
      <w:proofErr w:type="spellStart"/>
      <w:r w:rsidRPr="00483C38">
        <w:rPr>
          <w:rFonts w:ascii="Candara" w:hAnsi="Candara"/>
        </w:rPr>
        <w:t>cephaloline</w:t>
      </w:r>
      <w:proofErr w:type="spellEnd"/>
      <w:r w:rsidRPr="00483C38">
        <w:rPr>
          <w:rFonts w:ascii="Candara" w:hAnsi="Candara"/>
        </w:rPr>
        <w:t xml:space="preserve"> (0.58%), and </w:t>
      </w:r>
      <w:proofErr w:type="spellStart"/>
      <w:r w:rsidRPr="00483C38">
        <w:rPr>
          <w:rFonts w:ascii="Candara" w:hAnsi="Candara"/>
        </w:rPr>
        <w:t>ceftazidim</w:t>
      </w:r>
      <w:proofErr w:type="spellEnd"/>
      <w:r w:rsidRPr="00483C38">
        <w:rPr>
          <w:rFonts w:ascii="Candara" w:hAnsi="Candara"/>
        </w:rPr>
        <w:t xml:space="preserve"> (0.44%)17. This difference can occur because, among others, there are differences in the number of samples in the study. </w:t>
      </w:r>
    </w:p>
    <w:p w14:paraId="7D31B626" w14:textId="77777777" w:rsidR="0061409A" w:rsidRPr="00483C38" w:rsidRDefault="0061409A" w:rsidP="00EB183E">
      <w:pPr>
        <w:ind w:left="-2" w:firstLineChars="225" w:firstLine="540"/>
        <w:jc w:val="both"/>
        <w:rPr>
          <w:rFonts w:ascii="Candara" w:hAnsi="Candara"/>
        </w:rPr>
      </w:pPr>
      <w:r w:rsidRPr="00483C38">
        <w:rPr>
          <w:rFonts w:ascii="Candara" w:hAnsi="Candara"/>
        </w:rPr>
        <w:t xml:space="preserve">This study has obtained Ethical Approval from the RS X Ethics Committee Team in East Jakarta in 2019.Table 6 shows that drugs that enter the DU segment 90% after being cumulative are levofloxacin (45.60%), followed by </w:t>
      </w:r>
      <w:proofErr w:type="spellStart"/>
      <w:r w:rsidRPr="00483C38">
        <w:rPr>
          <w:rFonts w:ascii="Candara" w:hAnsi="Candara"/>
        </w:rPr>
        <w:t>cetriaxone</w:t>
      </w:r>
      <w:proofErr w:type="spellEnd"/>
      <w:r w:rsidRPr="00483C38">
        <w:rPr>
          <w:rFonts w:ascii="Candara" w:hAnsi="Candara"/>
        </w:rPr>
        <w:t xml:space="preserve"> (21.54%), </w:t>
      </w:r>
      <w:proofErr w:type="spellStart"/>
      <w:r w:rsidRPr="00483C38">
        <w:rPr>
          <w:rFonts w:ascii="Candara" w:hAnsi="Candara"/>
        </w:rPr>
        <w:t>cefoperazon</w:t>
      </w:r>
      <w:proofErr w:type="spellEnd"/>
      <w:r w:rsidRPr="00483C38">
        <w:rPr>
          <w:rFonts w:ascii="Candara" w:hAnsi="Candara"/>
        </w:rPr>
        <w:t xml:space="preserve"> (11.33%), and amoxicillin + clavulanate (9.00%). Drugs that fall into the DU segment are 90% of the most widely used drugs in RSU X in 2019.</w:t>
      </w:r>
    </w:p>
    <w:p w14:paraId="16B8EA65" w14:textId="77777777" w:rsidR="0061409A" w:rsidRPr="00483C38" w:rsidRDefault="0061409A" w:rsidP="005C5F03">
      <w:pPr>
        <w:ind w:left="0" w:hanging="2"/>
        <w:rPr>
          <w:rFonts w:ascii="Candara" w:hAnsi="Candara"/>
          <w:b/>
          <w:bCs/>
        </w:rPr>
      </w:pPr>
      <w:r w:rsidRPr="00483C38">
        <w:rPr>
          <w:rFonts w:ascii="Candara" w:hAnsi="Candara"/>
          <w:b/>
          <w:bCs/>
        </w:rPr>
        <w:t xml:space="preserve">Jenis </w:t>
      </w:r>
      <w:proofErr w:type="spellStart"/>
      <w:r w:rsidRPr="00483C38">
        <w:rPr>
          <w:rFonts w:ascii="Candara" w:hAnsi="Candara"/>
          <w:b/>
          <w:bCs/>
        </w:rPr>
        <w:t>Kelamin</w:t>
      </w:r>
      <w:proofErr w:type="spellEnd"/>
    </w:p>
    <w:p w14:paraId="4F04DC4A" w14:textId="77777777" w:rsidR="0061409A" w:rsidRPr="00483C38" w:rsidRDefault="0061409A" w:rsidP="005C5F03">
      <w:pPr>
        <w:ind w:left="-2" w:firstLineChars="225" w:firstLine="540"/>
        <w:jc w:val="both"/>
        <w:rPr>
          <w:rFonts w:ascii="Candara" w:hAnsi="Candara"/>
        </w:rPr>
      </w:pPr>
      <w:r w:rsidRPr="00483C38">
        <w:rPr>
          <w:rFonts w:ascii="Candara" w:hAnsi="Candara"/>
        </w:rPr>
        <w:t xml:space="preserve">The table above shows the characteristics of urinary tract infection patients hospitalized at </w:t>
      </w:r>
      <w:proofErr w:type="spellStart"/>
      <w:r w:rsidRPr="00483C38">
        <w:rPr>
          <w:rFonts w:ascii="Candara" w:hAnsi="Candara"/>
        </w:rPr>
        <w:t>Budhi</w:t>
      </w:r>
      <w:proofErr w:type="spellEnd"/>
      <w:r w:rsidRPr="00483C38">
        <w:rPr>
          <w:rFonts w:ascii="Candara" w:hAnsi="Candara"/>
        </w:rPr>
        <w:t xml:space="preserve"> Hospital, where the sex of the study subjects was mostly female (62.6%). The results of this study are in accordance with previous research conducted by Mantu, et al (2015), </w:t>
      </w:r>
      <w:proofErr w:type="spellStart"/>
      <w:r w:rsidRPr="00483C38">
        <w:rPr>
          <w:rFonts w:ascii="Candara" w:hAnsi="Candara"/>
        </w:rPr>
        <w:t>Insani</w:t>
      </w:r>
      <w:proofErr w:type="spellEnd"/>
      <w:r w:rsidRPr="00483C38">
        <w:rPr>
          <w:rFonts w:ascii="Candara" w:hAnsi="Candara"/>
        </w:rPr>
        <w:t xml:space="preserve"> (2018), and Sharma and Shweta (2018) which stated that many urinary tract infection patients were female15,17,18. The results of this study are also in accordance with the results of a Centers for Disease Control (CDC) study in 2007 which showed that about 8.6 million people in America suffer from urinary tract infections, 84% of which occur in women5. In addition, data from the World Health Organization (WHO) in 2011 also states that as many as 50% of women have experienced a urinary tract infection in their lives19. According to the theory, this happens because of anatomical differences between men and women. Anatomically the length of the female urethra is shorter than that of men, so bacteria from the outside more easily reach the bladder located close to the anus20. While in men urinary tract infections rarely occur, this is because men have prostate fluid whose antibacterial properties can inhibit the growth and entry of bacteria into the urinary tract21.</w:t>
      </w:r>
    </w:p>
    <w:p w14:paraId="4E03E118" w14:textId="0883D42F" w:rsidR="00216474" w:rsidRPr="00483C38" w:rsidRDefault="0061409A" w:rsidP="00216474">
      <w:pPr>
        <w:ind w:left="0" w:hanging="2"/>
        <w:rPr>
          <w:rFonts w:ascii="Candara" w:hAnsi="Candara"/>
          <w:b/>
          <w:bCs/>
        </w:rPr>
      </w:pPr>
      <w:r w:rsidRPr="00483C38">
        <w:rPr>
          <w:rFonts w:ascii="Candara" w:hAnsi="Candara"/>
          <w:b/>
          <w:bCs/>
        </w:rPr>
        <w:t>Age</w:t>
      </w:r>
    </w:p>
    <w:p w14:paraId="04A877C9" w14:textId="77777777" w:rsidR="0061409A" w:rsidRPr="00483C38" w:rsidRDefault="0061409A" w:rsidP="00A700F1">
      <w:pPr>
        <w:ind w:left="-2" w:firstLineChars="225" w:firstLine="540"/>
        <w:jc w:val="both"/>
        <w:rPr>
          <w:rFonts w:ascii="Candara" w:hAnsi="Candara"/>
        </w:rPr>
      </w:pPr>
      <w:r w:rsidRPr="00483C38">
        <w:rPr>
          <w:rFonts w:ascii="Candara" w:hAnsi="Candara"/>
        </w:rPr>
        <w:lastRenderedPageBreak/>
        <w:t xml:space="preserve">Based on age, it was found that the most research subjects of urinary tract infection patients at RSU X were the age group of 61-70 years, followed by the age group of 51-60 years, and the age of 41-50 years. Based on the research conducted, the results showed that the incidence of urinary tract infections increased at the age of 40 years and over, this is in line with previous research conducted at RSPAD Gatot Subroto Jakarta on the pattern of antibiotic prescribing in urinary tract infection patients in 2018 which stated that urinary tract infections mostly occur at the age of 40 years and over22. This is due to a decrease in body resistance in elderly patients, in addition to changes in the urinary system that can reduce the ability to empty the bladder so that urine in the bladder can cause infection23. While urinary tract infections that occur at a young age are generally caused by factors such as lack of maintaining intimate organ hygiene, sexual activity, and the use of contraceptives or spermicidal gels. This is because sexual activity can cause bacteria to enter the female bladder. while the use of spermicide can increase vaginal colonization with </w:t>
      </w:r>
      <w:proofErr w:type="spellStart"/>
      <w:r w:rsidRPr="00483C38">
        <w:rPr>
          <w:rFonts w:ascii="Candara" w:hAnsi="Candara"/>
        </w:rPr>
        <w:t>Eschericia</w:t>
      </w:r>
      <w:proofErr w:type="spellEnd"/>
      <w:r w:rsidRPr="00483C38">
        <w:rPr>
          <w:rFonts w:ascii="Candara" w:hAnsi="Candara"/>
        </w:rPr>
        <w:t xml:space="preserve"> coli bacteria to vaginal epithelial cells24.</w:t>
      </w:r>
    </w:p>
    <w:p w14:paraId="4E080D1F" w14:textId="77777777" w:rsidR="0061409A" w:rsidRPr="00483C38" w:rsidRDefault="0061409A" w:rsidP="00A700F1">
      <w:pPr>
        <w:ind w:left="-2" w:firstLineChars="225" w:firstLine="540"/>
        <w:jc w:val="both"/>
        <w:rPr>
          <w:rFonts w:ascii="Candara" w:hAnsi="Candara"/>
        </w:rPr>
      </w:pPr>
      <w:r w:rsidRPr="00483C38">
        <w:rPr>
          <w:rFonts w:ascii="Candara" w:hAnsi="Candara"/>
        </w:rPr>
        <w:t>Generally, risk factors for urinary tract infections can increase in postmenopausal women (women who have passed menopause for one year), because in postmenopausal women there is a decrease in estrogen hormone production which results in increased pH in vaginal fluids thereby increasing the development of microorganisms in the vagina. While in men, the increased incidence of urinary tract infections is caused by anatomical abnormalities such as prostatic hypertrophy, fecal incontinence, and catheterization21.</w:t>
      </w:r>
    </w:p>
    <w:p w14:paraId="25EC3375" w14:textId="77777777" w:rsidR="0061409A" w:rsidRPr="00483C38" w:rsidRDefault="0061409A" w:rsidP="00A700F1">
      <w:pPr>
        <w:ind w:left="0" w:hanging="2"/>
        <w:rPr>
          <w:rFonts w:ascii="Candara" w:hAnsi="Candara"/>
          <w:b/>
          <w:bCs/>
        </w:rPr>
      </w:pPr>
      <w:r w:rsidRPr="00483C38">
        <w:rPr>
          <w:rFonts w:ascii="Candara" w:hAnsi="Candara"/>
          <w:b/>
          <w:bCs/>
        </w:rPr>
        <w:t>Comorbidities</w:t>
      </w:r>
    </w:p>
    <w:p w14:paraId="16C441C2" w14:textId="717ED722" w:rsidR="00216474" w:rsidRPr="00483C38" w:rsidRDefault="0061409A" w:rsidP="00220215">
      <w:pPr>
        <w:ind w:left="-2" w:firstLineChars="225" w:firstLine="540"/>
        <w:jc w:val="both"/>
        <w:rPr>
          <w:rFonts w:ascii="Candara" w:hAnsi="Candara"/>
        </w:rPr>
      </w:pPr>
      <w:r w:rsidRPr="00483C38">
        <w:rPr>
          <w:rFonts w:ascii="Candara" w:hAnsi="Candara"/>
        </w:rPr>
        <w:t>The results showed that more urinary tract infection patients hospitalized at RSU X were accompanied by comorbidities compared to patients without comorbidities. One factor that influences the variety of comorbidities in urinary tract infection patients is the age of patients who are mostly elderly20.</w:t>
      </w:r>
    </w:p>
    <w:p w14:paraId="021B6355" w14:textId="77777777" w:rsidR="00216474" w:rsidRPr="00483C38" w:rsidRDefault="00216474" w:rsidP="00220215">
      <w:pPr>
        <w:ind w:left="-2" w:firstLineChars="225" w:firstLine="540"/>
        <w:jc w:val="both"/>
        <w:rPr>
          <w:rFonts w:ascii="Candara" w:hAnsi="Candara"/>
        </w:rPr>
      </w:pPr>
      <w:r w:rsidRPr="00483C38">
        <w:rPr>
          <w:rFonts w:ascii="Candara" w:hAnsi="Candara"/>
        </w:rPr>
        <w:t xml:space="preserve">Hasil </w:t>
      </w:r>
      <w:proofErr w:type="spellStart"/>
      <w:r w:rsidRPr="00483C38">
        <w:rPr>
          <w:rFonts w:ascii="Candara" w:hAnsi="Candara"/>
        </w:rPr>
        <w:t>penelitian</w:t>
      </w:r>
      <w:proofErr w:type="spellEnd"/>
      <w:r w:rsidRPr="00483C38">
        <w:rPr>
          <w:rFonts w:ascii="Candara" w:hAnsi="Candara"/>
        </w:rPr>
        <w:t xml:space="preserve"> ini </w:t>
      </w:r>
      <w:proofErr w:type="spellStart"/>
      <w:r w:rsidRPr="00483C38">
        <w:rPr>
          <w:rFonts w:ascii="Candara" w:hAnsi="Candara"/>
        </w:rPr>
        <w:t>sesuai</w:t>
      </w:r>
      <w:proofErr w:type="spellEnd"/>
      <w:r w:rsidRPr="00483C38">
        <w:rPr>
          <w:rFonts w:ascii="Candara" w:hAnsi="Candara"/>
        </w:rPr>
        <w:t xml:space="preserve"> dengan </w:t>
      </w:r>
      <w:proofErr w:type="spellStart"/>
      <w:r w:rsidRPr="00483C38">
        <w:rPr>
          <w:rFonts w:ascii="Candara" w:hAnsi="Candara"/>
        </w:rPr>
        <w:t>penelitian</w:t>
      </w:r>
      <w:proofErr w:type="spellEnd"/>
      <w:r w:rsidRPr="00483C38">
        <w:rPr>
          <w:rFonts w:ascii="Candara" w:hAnsi="Candara"/>
        </w:rPr>
        <w:t xml:space="preserve"> sebelumnya yang </w:t>
      </w:r>
      <w:proofErr w:type="spellStart"/>
      <w:r w:rsidRPr="00483C38">
        <w:rPr>
          <w:rFonts w:ascii="Candara" w:hAnsi="Candara"/>
        </w:rPr>
        <w:t>dilakukan</w:t>
      </w:r>
      <w:proofErr w:type="spellEnd"/>
      <w:r w:rsidRPr="00483C38">
        <w:rPr>
          <w:rFonts w:ascii="Candara" w:hAnsi="Candara"/>
        </w:rPr>
        <w:t xml:space="preserve"> di RSUD </w:t>
      </w:r>
      <w:proofErr w:type="spellStart"/>
      <w:r w:rsidRPr="00483C38">
        <w:rPr>
          <w:rFonts w:ascii="Candara" w:hAnsi="Candara"/>
        </w:rPr>
        <w:t>Undata</w:t>
      </w:r>
      <w:proofErr w:type="spellEnd"/>
      <w:r w:rsidRPr="00483C38">
        <w:rPr>
          <w:rFonts w:ascii="Candara" w:hAnsi="Candara"/>
        </w:rPr>
        <w:t xml:space="preserve"> Palu </w:t>
      </w:r>
      <w:proofErr w:type="spellStart"/>
      <w:r w:rsidRPr="00483C38">
        <w:rPr>
          <w:rFonts w:ascii="Candara" w:hAnsi="Candara"/>
        </w:rPr>
        <w:t>tentang</w:t>
      </w:r>
      <w:proofErr w:type="spellEnd"/>
      <w:r w:rsidRPr="00483C38">
        <w:rPr>
          <w:rFonts w:ascii="Candara" w:hAnsi="Candara"/>
        </w:rPr>
        <w:t xml:space="preserve"> </w:t>
      </w:r>
      <w:proofErr w:type="spellStart"/>
      <w:r w:rsidRPr="00483C38">
        <w:rPr>
          <w:rFonts w:ascii="Candara" w:hAnsi="Candara"/>
        </w:rPr>
        <w:t>rasionalitas</w:t>
      </w:r>
      <w:proofErr w:type="spellEnd"/>
      <w:r w:rsidRPr="00483C38">
        <w:rPr>
          <w:rFonts w:ascii="Candara" w:hAnsi="Candara"/>
        </w:rPr>
        <w:t xml:space="preserve"> </w:t>
      </w:r>
      <w:proofErr w:type="spellStart"/>
      <w:r w:rsidRPr="00483C38">
        <w:rPr>
          <w:rFonts w:ascii="Candara" w:hAnsi="Candara"/>
        </w:rPr>
        <w:t>penggunaan</w:t>
      </w:r>
      <w:proofErr w:type="spellEnd"/>
      <w:r w:rsidRPr="00483C38">
        <w:rPr>
          <w:rFonts w:ascii="Candara" w:hAnsi="Candara"/>
        </w:rPr>
        <w:t xml:space="preserve"> </w:t>
      </w:r>
      <w:proofErr w:type="spellStart"/>
      <w:r w:rsidRPr="00483C38">
        <w:rPr>
          <w:rFonts w:ascii="Candara" w:hAnsi="Candara"/>
        </w:rPr>
        <w:t>antibiotik</w:t>
      </w:r>
      <w:proofErr w:type="spellEnd"/>
      <w:r w:rsidRPr="00483C38">
        <w:rPr>
          <w:rFonts w:ascii="Candara" w:hAnsi="Candara"/>
        </w:rPr>
        <w:t xml:space="preserve"> pada </w:t>
      </w:r>
      <w:proofErr w:type="spellStart"/>
      <w:r w:rsidRPr="00483C38">
        <w:rPr>
          <w:rFonts w:ascii="Candara" w:hAnsi="Candara"/>
        </w:rPr>
        <w:t>pasien</w:t>
      </w:r>
      <w:proofErr w:type="spellEnd"/>
      <w:r w:rsidRPr="00483C38">
        <w:rPr>
          <w:rFonts w:ascii="Candara" w:hAnsi="Candara"/>
        </w:rPr>
        <w:t xml:space="preserve"> </w:t>
      </w:r>
      <w:proofErr w:type="spellStart"/>
      <w:r w:rsidRPr="00483C38">
        <w:rPr>
          <w:rFonts w:ascii="Candara" w:hAnsi="Candara"/>
        </w:rPr>
        <w:t>infeksi</w:t>
      </w:r>
      <w:proofErr w:type="spellEnd"/>
      <w:r w:rsidRPr="00483C38">
        <w:rPr>
          <w:rFonts w:ascii="Candara" w:hAnsi="Candara"/>
        </w:rPr>
        <w:t xml:space="preserve"> </w:t>
      </w:r>
      <w:proofErr w:type="spellStart"/>
      <w:r w:rsidRPr="00483C38">
        <w:rPr>
          <w:rFonts w:ascii="Candara" w:hAnsi="Candara"/>
        </w:rPr>
        <w:t>saluran</w:t>
      </w:r>
      <w:proofErr w:type="spellEnd"/>
      <w:r w:rsidRPr="00483C38">
        <w:rPr>
          <w:rFonts w:ascii="Candara" w:hAnsi="Candara"/>
        </w:rPr>
        <w:t xml:space="preserve"> </w:t>
      </w:r>
      <w:proofErr w:type="spellStart"/>
      <w:r w:rsidRPr="00483C38">
        <w:rPr>
          <w:rFonts w:ascii="Candara" w:hAnsi="Candara"/>
        </w:rPr>
        <w:t>kemih</w:t>
      </w:r>
      <w:proofErr w:type="spellEnd"/>
      <w:r w:rsidRPr="00483C38">
        <w:rPr>
          <w:rFonts w:ascii="Candara" w:hAnsi="Candara"/>
        </w:rPr>
        <w:t xml:space="preserve"> di </w:t>
      </w:r>
      <w:proofErr w:type="spellStart"/>
      <w:r w:rsidRPr="00483C38">
        <w:rPr>
          <w:rFonts w:ascii="Candara" w:hAnsi="Candara"/>
        </w:rPr>
        <w:t>instalasi</w:t>
      </w:r>
      <w:proofErr w:type="spellEnd"/>
      <w:r w:rsidRPr="00483C38">
        <w:rPr>
          <w:rFonts w:ascii="Candara" w:hAnsi="Candara"/>
        </w:rPr>
        <w:t xml:space="preserve"> </w:t>
      </w:r>
      <w:proofErr w:type="spellStart"/>
      <w:r w:rsidRPr="00483C38">
        <w:rPr>
          <w:rFonts w:ascii="Candara" w:hAnsi="Candara"/>
        </w:rPr>
        <w:t>rawat</w:t>
      </w:r>
      <w:proofErr w:type="spellEnd"/>
      <w:r w:rsidRPr="00483C38">
        <w:rPr>
          <w:rFonts w:ascii="Candara" w:hAnsi="Candara"/>
        </w:rPr>
        <w:t xml:space="preserve"> </w:t>
      </w:r>
      <w:proofErr w:type="spellStart"/>
      <w:r w:rsidRPr="00483C38">
        <w:rPr>
          <w:rFonts w:ascii="Candara" w:hAnsi="Candara"/>
        </w:rPr>
        <w:t>inap</w:t>
      </w:r>
      <w:proofErr w:type="spellEnd"/>
      <w:r w:rsidRPr="00483C38">
        <w:rPr>
          <w:rFonts w:ascii="Candara" w:hAnsi="Candara"/>
        </w:rPr>
        <w:t xml:space="preserve"> RSUD </w:t>
      </w:r>
      <w:proofErr w:type="spellStart"/>
      <w:r w:rsidRPr="00483C38">
        <w:rPr>
          <w:rFonts w:ascii="Candara" w:hAnsi="Candara"/>
        </w:rPr>
        <w:t>Undata</w:t>
      </w:r>
      <w:proofErr w:type="spellEnd"/>
      <w:r w:rsidRPr="00483C38">
        <w:rPr>
          <w:rFonts w:ascii="Candara" w:hAnsi="Candara"/>
        </w:rPr>
        <w:t xml:space="preserve"> Palu </w:t>
      </w:r>
      <w:proofErr w:type="spellStart"/>
      <w:r w:rsidRPr="00483C38">
        <w:rPr>
          <w:rFonts w:ascii="Candara" w:hAnsi="Candara"/>
        </w:rPr>
        <w:t>tahun</w:t>
      </w:r>
      <w:proofErr w:type="spellEnd"/>
      <w:r w:rsidRPr="00483C38">
        <w:rPr>
          <w:rFonts w:ascii="Candara" w:hAnsi="Candara"/>
        </w:rPr>
        <w:t xml:space="preserve"> 2012 yang </w:t>
      </w:r>
      <w:proofErr w:type="spellStart"/>
      <w:r w:rsidRPr="00483C38">
        <w:rPr>
          <w:rFonts w:ascii="Candara" w:hAnsi="Candara"/>
        </w:rPr>
        <w:t>menyatakan</w:t>
      </w:r>
      <w:proofErr w:type="spellEnd"/>
      <w:r w:rsidRPr="00483C38">
        <w:rPr>
          <w:rFonts w:ascii="Candara" w:hAnsi="Candara"/>
        </w:rPr>
        <w:t xml:space="preserve"> </w:t>
      </w:r>
      <w:proofErr w:type="spellStart"/>
      <w:r w:rsidRPr="00483C38">
        <w:rPr>
          <w:rFonts w:ascii="Candara" w:hAnsi="Candara"/>
        </w:rPr>
        <w:t>bahwa</w:t>
      </w:r>
      <w:proofErr w:type="spellEnd"/>
      <w:r w:rsidRPr="00483C38">
        <w:rPr>
          <w:rFonts w:ascii="Candara" w:hAnsi="Candara"/>
        </w:rPr>
        <w:t xml:space="preserve"> </w:t>
      </w:r>
      <w:proofErr w:type="spellStart"/>
      <w:r w:rsidRPr="00483C38">
        <w:rPr>
          <w:rFonts w:ascii="Candara" w:hAnsi="Candara"/>
        </w:rPr>
        <w:t>pasien</w:t>
      </w:r>
      <w:proofErr w:type="spellEnd"/>
      <w:r w:rsidRPr="00483C38">
        <w:rPr>
          <w:rFonts w:ascii="Candara" w:hAnsi="Candara"/>
        </w:rPr>
        <w:t xml:space="preserve"> </w:t>
      </w:r>
      <w:proofErr w:type="spellStart"/>
      <w:r w:rsidRPr="00483C38">
        <w:rPr>
          <w:rFonts w:ascii="Candara" w:hAnsi="Candara"/>
        </w:rPr>
        <w:t>infeksi</w:t>
      </w:r>
      <w:proofErr w:type="spellEnd"/>
      <w:r w:rsidRPr="00483C38">
        <w:rPr>
          <w:rFonts w:ascii="Candara" w:hAnsi="Candara"/>
        </w:rPr>
        <w:t xml:space="preserve"> </w:t>
      </w:r>
      <w:proofErr w:type="spellStart"/>
      <w:r w:rsidRPr="00483C38">
        <w:rPr>
          <w:rFonts w:ascii="Candara" w:hAnsi="Candara"/>
        </w:rPr>
        <w:t>saluran</w:t>
      </w:r>
      <w:proofErr w:type="spellEnd"/>
      <w:r w:rsidRPr="00483C38">
        <w:rPr>
          <w:rFonts w:ascii="Candara" w:hAnsi="Candara"/>
        </w:rPr>
        <w:t xml:space="preserve"> </w:t>
      </w:r>
      <w:proofErr w:type="spellStart"/>
      <w:r w:rsidRPr="00483C38">
        <w:rPr>
          <w:rFonts w:ascii="Candara" w:hAnsi="Candara"/>
        </w:rPr>
        <w:t>kemih</w:t>
      </w:r>
      <w:proofErr w:type="spellEnd"/>
      <w:r w:rsidRPr="00483C38">
        <w:rPr>
          <w:rFonts w:ascii="Candara" w:hAnsi="Candara"/>
        </w:rPr>
        <w:t xml:space="preserve"> yang </w:t>
      </w:r>
      <w:proofErr w:type="spellStart"/>
      <w:r w:rsidRPr="00483C38">
        <w:rPr>
          <w:rFonts w:ascii="Candara" w:hAnsi="Candara"/>
        </w:rPr>
        <w:t>disertai</w:t>
      </w:r>
      <w:proofErr w:type="spellEnd"/>
      <w:r w:rsidRPr="00483C38">
        <w:rPr>
          <w:rFonts w:ascii="Candara" w:hAnsi="Candara"/>
        </w:rPr>
        <w:t xml:space="preserve"> dengan </w:t>
      </w:r>
      <w:proofErr w:type="spellStart"/>
      <w:r w:rsidRPr="00483C38">
        <w:rPr>
          <w:rFonts w:ascii="Candara" w:hAnsi="Candara"/>
        </w:rPr>
        <w:t>penyakit</w:t>
      </w:r>
      <w:proofErr w:type="spellEnd"/>
      <w:r w:rsidRPr="00483C38">
        <w:rPr>
          <w:rFonts w:ascii="Candara" w:hAnsi="Candara"/>
        </w:rPr>
        <w:t xml:space="preserve"> </w:t>
      </w:r>
      <w:proofErr w:type="spellStart"/>
      <w:r w:rsidRPr="00483C38">
        <w:rPr>
          <w:rFonts w:ascii="Candara" w:hAnsi="Candara"/>
        </w:rPr>
        <w:t>penyerta</w:t>
      </w:r>
      <w:proofErr w:type="spellEnd"/>
      <w:r w:rsidRPr="00483C38">
        <w:rPr>
          <w:rFonts w:ascii="Candara" w:hAnsi="Candara"/>
        </w:rPr>
        <w:t xml:space="preserve"> lebih </w:t>
      </w:r>
      <w:proofErr w:type="spellStart"/>
      <w:r w:rsidRPr="00483C38">
        <w:rPr>
          <w:rFonts w:ascii="Candara" w:hAnsi="Candara"/>
        </w:rPr>
        <w:t>banyak</w:t>
      </w:r>
      <w:proofErr w:type="spellEnd"/>
      <w:r w:rsidRPr="00483C38">
        <w:rPr>
          <w:rFonts w:ascii="Candara" w:hAnsi="Candara"/>
        </w:rPr>
        <w:t xml:space="preserve"> </w:t>
      </w:r>
      <w:proofErr w:type="spellStart"/>
      <w:r w:rsidRPr="00483C38">
        <w:rPr>
          <w:rFonts w:ascii="Candara" w:hAnsi="Candara"/>
        </w:rPr>
        <w:t>dibandingkan</w:t>
      </w:r>
      <w:proofErr w:type="spellEnd"/>
      <w:r w:rsidRPr="00483C38">
        <w:rPr>
          <w:rFonts w:ascii="Candara" w:hAnsi="Candara"/>
        </w:rPr>
        <w:t xml:space="preserve"> </w:t>
      </w:r>
      <w:proofErr w:type="spellStart"/>
      <w:r w:rsidRPr="00483C38">
        <w:rPr>
          <w:rFonts w:ascii="Candara" w:hAnsi="Candara"/>
        </w:rPr>
        <w:t>tanpa</w:t>
      </w:r>
      <w:proofErr w:type="spellEnd"/>
      <w:r w:rsidRPr="00483C38">
        <w:rPr>
          <w:rFonts w:ascii="Candara" w:hAnsi="Candara"/>
        </w:rPr>
        <w:t xml:space="preserve"> </w:t>
      </w:r>
      <w:proofErr w:type="spellStart"/>
      <w:r w:rsidRPr="00483C38">
        <w:rPr>
          <w:rFonts w:ascii="Candara" w:hAnsi="Candara"/>
        </w:rPr>
        <w:t>penyakit</w:t>
      </w:r>
      <w:proofErr w:type="spellEnd"/>
      <w:r w:rsidRPr="00483C38">
        <w:rPr>
          <w:rFonts w:ascii="Candara" w:hAnsi="Candara"/>
        </w:rPr>
        <w:t xml:space="preserve"> penyerta25. </w:t>
      </w:r>
    </w:p>
    <w:p w14:paraId="13B70230" w14:textId="77777777" w:rsidR="0061409A" w:rsidRPr="00483C38" w:rsidRDefault="0061409A" w:rsidP="00615BA0">
      <w:pPr>
        <w:ind w:left="-2" w:firstLineChars="225" w:firstLine="540"/>
        <w:jc w:val="both"/>
        <w:rPr>
          <w:rFonts w:ascii="Candara" w:hAnsi="Candara"/>
        </w:rPr>
      </w:pPr>
      <w:r w:rsidRPr="00483C38">
        <w:rPr>
          <w:rFonts w:ascii="Candara" w:hAnsi="Candara"/>
        </w:rPr>
        <w:t xml:space="preserve">The results of this study are in accordance with previous research conducted at </w:t>
      </w:r>
      <w:proofErr w:type="spellStart"/>
      <w:r w:rsidRPr="00483C38">
        <w:rPr>
          <w:rFonts w:ascii="Candara" w:hAnsi="Candara"/>
        </w:rPr>
        <w:t>Undata</w:t>
      </w:r>
      <w:proofErr w:type="spellEnd"/>
      <w:r w:rsidRPr="00483C38">
        <w:rPr>
          <w:rFonts w:ascii="Candara" w:hAnsi="Candara"/>
        </w:rPr>
        <w:t xml:space="preserve"> Hospital Palu on the rationality of using antibiotics in urinary tract infection patients in the inpatient installation of </w:t>
      </w:r>
      <w:proofErr w:type="spellStart"/>
      <w:r w:rsidRPr="00483C38">
        <w:rPr>
          <w:rFonts w:ascii="Candara" w:hAnsi="Candara"/>
        </w:rPr>
        <w:t>Undata</w:t>
      </w:r>
      <w:proofErr w:type="spellEnd"/>
      <w:r w:rsidRPr="00483C38">
        <w:rPr>
          <w:rFonts w:ascii="Candara" w:hAnsi="Candara"/>
        </w:rPr>
        <w:t xml:space="preserve"> Hospital Palu in 2012 which stated that urinary tract infection patients accompanied by comorbidities were more than without comorbidities25. </w:t>
      </w:r>
    </w:p>
    <w:p w14:paraId="6EDBB8FC" w14:textId="77777777" w:rsidR="0061409A" w:rsidRPr="00483C38" w:rsidRDefault="0061409A" w:rsidP="00615BA0">
      <w:pPr>
        <w:ind w:left="-2" w:firstLineChars="225" w:firstLine="540"/>
        <w:jc w:val="both"/>
        <w:rPr>
          <w:rFonts w:ascii="Candara" w:hAnsi="Candara"/>
        </w:rPr>
      </w:pPr>
      <w:r w:rsidRPr="00483C38">
        <w:rPr>
          <w:rFonts w:ascii="Candara" w:hAnsi="Candara"/>
        </w:rPr>
        <w:t xml:space="preserve">Based on the data obtained, it shows that the most common types of comorbidities experienced by urinary tract infection patients at RSU X East Jakarta in 2019 are hypokalemia, followed by dyspepsia, diabetes mellitus, hypertension, chronic kidney disease and other diseases. The results of this study are in accordance with research conducted at RSUP DR. Wahidin </w:t>
      </w:r>
      <w:proofErr w:type="spellStart"/>
      <w:r w:rsidRPr="00483C38">
        <w:rPr>
          <w:rFonts w:ascii="Candara" w:hAnsi="Candara"/>
        </w:rPr>
        <w:t>Sudirohusodo</w:t>
      </w:r>
      <w:proofErr w:type="spellEnd"/>
      <w:r w:rsidRPr="00483C38">
        <w:rPr>
          <w:rFonts w:ascii="Candara" w:hAnsi="Candara"/>
        </w:rPr>
        <w:t xml:space="preserve"> on the analysis of the effectiveness and side effects of antibiotics in urinary tract infection patients in 2018 which stated that the comorbidities that occur in many urinary tract infection </w:t>
      </w:r>
      <w:r w:rsidRPr="00483C38">
        <w:rPr>
          <w:rFonts w:ascii="Candara" w:hAnsi="Candara"/>
        </w:rPr>
        <w:lastRenderedPageBreak/>
        <w:t>patients are diabetes mellitus, hypertension, and chronic kidney disease. This is because diabetes can increase blood sugar and blood sugar levels in the urine, causing bacteria to multiply more easily. In addition to diabetes mellitus, hypertension is also a comorbidity that is a risk factor for urinary tract infections, this is because hypertension is one of the causes of chronic kidney disease, where one of the complications of chronic kidney disease is immunological disorders that often cause infections, one of which is urinary tract infections23.</w:t>
      </w:r>
    </w:p>
    <w:p w14:paraId="49CBD6CF" w14:textId="77777777" w:rsidR="0061409A" w:rsidRPr="00483C38" w:rsidRDefault="0061409A" w:rsidP="001251BB">
      <w:pPr>
        <w:ind w:left="-2" w:firstLineChars="225" w:firstLine="540"/>
        <w:jc w:val="both"/>
        <w:rPr>
          <w:rFonts w:ascii="Candara" w:hAnsi="Candara"/>
        </w:rPr>
      </w:pPr>
      <w:r w:rsidRPr="00483C38">
        <w:rPr>
          <w:rFonts w:ascii="Candara" w:hAnsi="Candara"/>
        </w:rPr>
        <w:t xml:space="preserve">But in this study the most comorbidities in patients with urinary tract infections were hypokalemia. According to research conducted by (Nathania, 2018) hypokalemia can be caused by several conditions such as diabetes, kidney disease, chronic diarrhea, alcohol withdrawal, hyperthyroidism, acute </w:t>
      </w:r>
      <w:proofErr w:type="spellStart"/>
      <w:r w:rsidRPr="00483C38">
        <w:rPr>
          <w:rFonts w:ascii="Candara" w:hAnsi="Candara"/>
        </w:rPr>
        <w:t>myocard</w:t>
      </w:r>
      <w:proofErr w:type="spellEnd"/>
      <w:r w:rsidRPr="00483C38">
        <w:rPr>
          <w:rFonts w:ascii="Candara" w:hAnsi="Candara"/>
        </w:rPr>
        <w:t xml:space="preserve"> infarction, severe head injury, and the use of certain drugs26, where in this study there are several comorbidities that are at risk of causing hypokalemia in patients with urinary tract infections, namely diabetes mellitus, chronic kidney disease, acute kidney disease,  diabetic ketoacidosis, kidney stones, renal colic, bilateral </w:t>
      </w:r>
      <w:proofErr w:type="spellStart"/>
      <w:r w:rsidRPr="00483C38">
        <w:rPr>
          <w:rFonts w:ascii="Candara" w:hAnsi="Candara"/>
        </w:rPr>
        <w:t>nephroxisk</w:t>
      </w:r>
      <w:proofErr w:type="spellEnd"/>
      <w:r w:rsidRPr="00483C38">
        <w:rPr>
          <w:rFonts w:ascii="Candara" w:hAnsi="Candara"/>
        </w:rPr>
        <w:t>, renal cyst, renal abscess, contracted kidney, and nephritis for a total amount of 20.1%.</w:t>
      </w:r>
    </w:p>
    <w:p w14:paraId="2BFC9E8A" w14:textId="77777777" w:rsidR="0061409A" w:rsidRPr="00483C38" w:rsidRDefault="0061409A" w:rsidP="001251BB">
      <w:pPr>
        <w:ind w:left="0" w:hanging="2"/>
        <w:rPr>
          <w:rFonts w:ascii="Candara" w:hAnsi="Candara"/>
          <w:b/>
          <w:bCs/>
        </w:rPr>
      </w:pPr>
      <w:r w:rsidRPr="00483C38">
        <w:rPr>
          <w:rFonts w:ascii="Candara" w:hAnsi="Candara"/>
          <w:b/>
          <w:bCs/>
        </w:rPr>
        <w:t>Length of day Rawat</w:t>
      </w:r>
    </w:p>
    <w:p w14:paraId="155AD7B9" w14:textId="77777777" w:rsidR="0061409A" w:rsidRPr="00483C38" w:rsidRDefault="0061409A" w:rsidP="001251BB">
      <w:pPr>
        <w:ind w:left="-2" w:firstLineChars="225" w:firstLine="540"/>
        <w:jc w:val="both"/>
        <w:rPr>
          <w:rFonts w:ascii="Candara" w:hAnsi="Candara"/>
        </w:rPr>
      </w:pPr>
      <w:r w:rsidRPr="00483C38">
        <w:rPr>
          <w:rFonts w:ascii="Candara" w:hAnsi="Candara"/>
        </w:rPr>
        <w:t xml:space="preserve">Based on the length of hospitalization days, the results showed that the percentage of urinary tract infection patients who underwent hospitalization at RSU X was at most around 4-7 days. The results of this study are almost the same as research conducted at </w:t>
      </w:r>
      <w:proofErr w:type="spellStart"/>
      <w:r w:rsidRPr="00483C38">
        <w:rPr>
          <w:rFonts w:ascii="Candara" w:hAnsi="Candara"/>
        </w:rPr>
        <w:t>Undata</w:t>
      </w:r>
      <w:proofErr w:type="spellEnd"/>
      <w:r w:rsidRPr="00483C38">
        <w:rPr>
          <w:rFonts w:ascii="Candara" w:hAnsi="Candara"/>
        </w:rPr>
        <w:t xml:space="preserve"> Hospital Palu in 2012 on urinary tract infection (UTI) patients, the results showed the length of the most days of hospitalization more than 3 days25. According to the general theory, the condition of urinary tract infection patients without comorbidities will improve after the use of 3-day antibiotic therapy. The length of hospitalization days that are more than 3 days is caused because most patients are accompanied by other diseases that can aggravate infectious conditions, thus prolonging the healing process 20.</w:t>
      </w:r>
    </w:p>
    <w:p w14:paraId="5912818A" w14:textId="77777777" w:rsidR="0061409A" w:rsidRPr="00483C38" w:rsidRDefault="0061409A" w:rsidP="001251BB">
      <w:pPr>
        <w:ind w:left="0" w:hanging="2"/>
        <w:rPr>
          <w:rFonts w:ascii="Candara" w:hAnsi="Candara"/>
          <w:b/>
          <w:bCs/>
        </w:rPr>
      </w:pPr>
      <w:r w:rsidRPr="00483C38">
        <w:rPr>
          <w:rFonts w:ascii="Candara" w:hAnsi="Candara"/>
          <w:b/>
          <w:bCs/>
        </w:rPr>
        <w:t>Distribution of Antibiotic Therapy Use Profile</w:t>
      </w:r>
    </w:p>
    <w:p w14:paraId="6B0FB36B" w14:textId="360060DA" w:rsidR="00216474" w:rsidRPr="00483C38" w:rsidRDefault="0061409A" w:rsidP="00220215">
      <w:pPr>
        <w:ind w:left="-2" w:firstLineChars="225" w:firstLine="540"/>
        <w:jc w:val="both"/>
        <w:rPr>
          <w:rFonts w:ascii="Candara" w:hAnsi="Candara"/>
        </w:rPr>
      </w:pPr>
      <w:r w:rsidRPr="00483C38">
        <w:rPr>
          <w:rFonts w:ascii="Candara" w:hAnsi="Candara"/>
        </w:rPr>
        <w:t>The distribution of antibiotic therapy use profiles aims to determine what antibiotics are used by urinary tract infection patients in the inpatient installation of RSU X 2019.</w:t>
      </w:r>
      <w:r w:rsidR="00216474" w:rsidRPr="00483C38">
        <w:rPr>
          <w:rFonts w:ascii="Candara" w:hAnsi="Candara"/>
        </w:rPr>
        <w:t xml:space="preserve"> </w:t>
      </w:r>
    </w:p>
    <w:p w14:paraId="6BE9DF4A" w14:textId="77777777" w:rsidR="0061409A" w:rsidRPr="00483C38" w:rsidRDefault="0061409A" w:rsidP="00340813">
      <w:pPr>
        <w:ind w:left="-2" w:firstLineChars="225" w:firstLine="540"/>
        <w:jc w:val="both"/>
        <w:rPr>
          <w:rFonts w:ascii="Candara" w:hAnsi="Candara"/>
        </w:rPr>
      </w:pPr>
      <w:r w:rsidRPr="00483C38">
        <w:rPr>
          <w:rFonts w:ascii="Candara" w:hAnsi="Candara"/>
        </w:rPr>
        <w:t xml:space="preserve">The results in this study showed that patients received more single therapy than combination therapy, where the most antibiotic used as monotherapy was levofloxacin. As for combination therapy, the antibiotics used are amoxicillin, clavulanate plus levofloxacin and levofloxacin plus ceftriaxone. This is </w:t>
      </w:r>
      <w:proofErr w:type="gramStart"/>
      <w:r w:rsidRPr="00483C38">
        <w:rPr>
          <w:rFonts w:ascii="Candara" w:hAnsi="Candara"/>
        </w:rPr>
        <w:t>similar to</w:t>
      </w:r>
      <w:proofErr w:type="gramEnd"/>
      <w:r w:rsidRPr="00483C38">
        <w:rPr>
          <w:rFonts w:ascii="Candara" w:hAnsi="Candara"/>
        </w:rPr>
        <w:t xml:space="preserve"> research conducted at </w:t>
      </w:r>
      <w:proofErr w:type="spellStart"/>
      <w:r w:rsidRPr="00483C38">
        <w:rPr>
          <w:rFonts w:ascii="Candara" w:hAnsi="Candara"/>
        </w:rPr>
        <w:t>Roemani</w:t>
      </w:r>
      <w:proofErr w:type="spellEnd"/>
      <w:r w:rsidRPr="00483C38">
        <w:rPr>
          <w:rFonts w:ascii="Candara" w:hAnsi="Candara"/>
        </w:rPr>
        <w:t xml:space="preserve"> Hospital Semarang in 2015, giving antibiotic monotherapy to urinary tract infection patients is more widely used than combination therapy27.</w:t>
      </w:r>
    </w:p>
    <w:p w14:paraId="0627FAC5" w14:textId="77777777" w:rsidR="0061409A" w:rsidRPr="00483C38" w:rsidRDefault="0061409A" w:rsidP="00340813">
      <w:pPr>
        <w:ind w:left="-2" w:firstLineChars="225" w:firstLine="540"/>
        <w:jc w:val="both"/>
        <w:rPr>
          <w:rFonts w:ascii="Candara" w:hAnsi="Candara"/>
        </w:rPr>
      </w:pPr>
      <w:r w:rsidRPr="00483C38">
        <w:rPr>
          <w:rFonts w:ascii="Candara" w:hAnsi="Candara"/>
        </w:rPr>
        <w:t xml:space="preserve">According to guidelines for the management of urinary tract infections and male genitalia, monotherapy is generally given to urinary tract infection patients who do not experience anatomical structural abnormalities3. While combination therapy is usually used to achieve effective drug action, because the right combination will provide better clinical benefits. In addition, combination therapy can also provide a </w:t>
      </w:r>
      <w:r w:rsidRPr="00483C38">
        <w:rPr>
          <w:rFonts w:ascii="Candara" w:hAnsi="Candara"/>
        </w:rPr>
        <w:lastRenderedPageBreak/>
        <w:t xml:space="preserve">synergistic effect and inhibit the emergence of bacterial resistance to the antibiotics used28. </w:t>
      </w:r>
    </w:p>
    <w:p w14:paraId="46CC05CC" w14:textId="77777777" w:rsidR="0061409A" w:rsidRPr="00483C38" w:rsidRDefault="0061409A" w:rsidP="00340813">
      <w:pPr>
        <w:ind w:left="-2" w:firstLineChars="225" w:firstLine="540"/>
        <w:jc w:val="both"/>
        <w:rPr>
          <w:rFonts w:ascii="Candara" w:hAnsi="Candara"/>
        </w:rPr>
      </w:pPr>
      <w:r w:rsidRPr="00483C38">
        <w:rPr>
          <w:rFonts w:ascii="Candara" w:hAnsi="Candara"/>
        </w:rPr>
        <w:t xml:space="preserve">In choosing antibiotics as therapy in urinary tract infection patients, there are generally several things that are taken into consideration </w:t>
      </w:r>
      <w:proofErr w:type="gramStart"/>
      <w:r w:rsidRPr="00483C38">
        <w:rPr>
          <w:rFonts w:ascii="Candara" w:hAnsi="Candara"/>
        </w:rPr>
        <w:t>in order to</w:t>
      </w:r>
      <w:proofErr w:type="gramEnd"/>
      <w:r w:rsidRPr="00483C38">
        <w:rPr>
          <w:rFonts w:ascii="Candara" w:hAnsi="Candara"/>
        </w:rPr>
        <w:t xml:space="preserve"> achieve optimal therapy, including antibiotic sensitivity, the risk of side effects, and the risk of bacterial resistance to antibiotics. Therefore, to achieve this, the selection of treatment with monotherapy or combination therapy can be carried out4.</w:t>
      </w:r>
    </w:p>
    <w:p w14:paraId="1C073FB9" w14:textId="77777777" w:rsidR="0061409A" w:rsidRPr="00483C38" w:rsidRDefault="0061409A" w:rsidP="00340813">
      <w:pPr>
        <w:ind w:left="0" w:hanging="2"/>
        <w:rPr>
          <w:rFonts w:ascii="Candara" w:hAnsi="Candara"/>
          <w:b/>
          <w:bCs/>
        </w:rPr>
      </w:pPr>
      <w:r w:rsidRPr="00483C38">
        <w:rPr>
          <w:rFonts w:ascii="Candara" w:hAnsi="Candara"/>
          <w:b/>
          <w:bCs/>
        </w:rPr>
        <w:t>Evaluation of the use of antibiotics in quantity in DDD units</w:t>
      </w:r>
    </w:p>
    <w:p w14:paraId="5D24632A" w14:textId="77777777" w:rsidR="0061409A" w:rsidRPr="00483C38" w:rsidRDefault="0061409A" w:rsidP="00340813">
      <w:pPr>
        <w:ind w:left="-2" w:firstLineChars="225" w:firstLine="540"/>
        <w:jc w:val="both"/>
        <w:rPr>
          <w:rFonts w:ascii="Candara" w:hAnsi="Candara"/>
        </w:rPr>
      </w:pPr>
      <w:r w:rsidRPr="00483C38">
        <w:rPr>
          <w:rFonts w:ascii="Candara" w:hAnsi="Candara"/>
        </w:rPr>
        <w:t>In this study, the dosage form of antibiotics with peroral and parenteral routes had the same Defined Daily Dose value. During 2019, there are 11 types of antibiotics from 5 classes of antibiotics used in urinary tract infection patients, namely penicillin antibiotics, cephalosporins, fluoroquinolones, carbapenems, and other groups.</w:t>
      </w:r>
    </w:p>
    <w:p w14:paraId="503ADC21" w14:textId="57FD1C9F" w:rsidR="00216474" w:rsidRPr="00483C38" w:rsidRDefault="0061409A" w:rsidP="00220215">
      <w:pPr>
        <w:ind w:left="-2" w:firstLineChars="225" w:firstLine="540"/>
        <w:jc w:val="both"/>
        <w:rPr>
          <w:rFonts w:ascii="Candara" w:hAnsi="Candara"/>
        </w:rPr>
      </w:pPr>
      <w:r w:rsidRPr="00483C38">
        <w:rPr>
          <w:rFonts w:ascii="Candara" w:hAnsi="Candara"/>
        </w:rPr>
        <w:t>During the year 2019 from January to December, the total number of inpatient days (Length of Stay) of 115 patients was 552 days shown in table 4. the total LOS used in this study is for the calculation of DDD as a divisor with the DDD standard value from WHO</w:t>
      </w:r>
      <w:r w:rsidR="00216474" w:rsidRPr="00483C38">
        <w:rPr>
          <w:rFonts w:ascii="Candara" w:hAnsi="Candara"/>
        </w:rPr>
        <w:t xml:space="preserve">. </w:t>
      </w:r>
    </w:p>
    <w:p w14:paraId="3B32586A" w14:textId="77777777" w:rsidR="0061409A" w:rsidRPr="00483C38" w:rsidRDefault="0061409A" w:rsidP="002B7317">
      <w:pPr>
        <w:ind w:left="-2" w:firstLineChars="225" w:firstLine="540"/>
        <w:jc w:val="both"/>
        <w:rPr>
          <w:rFonts w:ascii="Candara" w:hAnsi="Candara"/>
        </w:rPr>
      </w:pPr>
      <w:r w:rsidRPr="00483C38">
        <w:rPr>
          <w:rFonts w:ascii="Candara" w:hAnsi="Candara"/>
        </w:rPr>
        <w:t>The quantity of antibiotic use at RSU X East Jakarta in units of DDD/100 patient-days is shown in table 4. The quantity of antibiotic use that had the highest amount in 2019 was levofloxacin. DDD calculation for levofloxacin in 2019 reached 44.07 DDD/100 patient-days. This showed that there were 44 patients from all study subjects who consumed 1 DDD levofloxacin of 0.5 grams daily.</w:t>
      </w:r>
    </w:p>
    <w:p w14:paraId="1576A331" w14:textId="77777777" w:rsidR="0061409A" w:rsidRPr="00483C38" w:rsidRDefault="0061409A" w:rsidP="002B7317">
      <w:pPr>
        <w:ind w:left="-2" w:firstLineChars="225" w:firstLine="540"/>
        <w:jc w:val="both"/>
        <w:rPr>
          <w:rFonts w:ascii="Candara" w:hAnsi="Candara"/>
        </w:rPr>
      </w:pPr>
      <w:r w:rsidRPr="00483C38">
        <w:rPr>
          <w:rFonts w:ascii="Candara" w:hAnsi="Candara"/>
        </w:rPr>
        <w:t>Levofloxacin is a third-generation fluoroquinolone broad-spectrum antibiotic with better activity against gram-positive bacteria and has a lower level of bacterial resistance to antibiotics than other fluoroquinolones, this is because many studies show that as many as 20-30% of bacteria that cause urinary tract infections are resistant to fluoroquinolone antibiotics, especially ciprofloxacin29,30.</w:t>
      </w:r>
    </w:p>
    <w:p w14:paraId="035F49A0" w14:textId="77777777" w:rsidR="0061409A" w:rsidRPr="00483C38" w:rsidRDefault="0061409A" w:rsidP="002B7317">
      <w:pPr>
        <w:ind w:left="-2" w:firstLineChars="225" w:firstLine="540"/>
        <w:jc w:val="both"/>
        <w:rPr>
          <w:rFonts w:ascii="Candara" w:hAnsi="Candara"/>
        </w:rPr>
      </w:pPr>
      <w:r w:rsidRPr="00483C38">
        <w:rPr>
          <w:rFonts w:ascii="Candara" w:hAnsi="Candara"/>
        </w:rPr>
        <w:t xml:space="preserve">Levofloxacin is an antibiotic recommended as empirical therapy in urinary tract infection patients, because levofloxacin can reach expected levels both in serum and in urine, besides levofloxacin is also included in the list of national formularies in 2018 as a therapy for urinary tract infections28,31. </w:t>
      </w:r>
    </w:p>
    <w:p w14:paraId="799822CA" w14:textId="77777777" w:rsidR="0061409A" w:rsidRPr="00483C38" w:rsidRDefault="0061409A" w:rsidP="002B7317">
      <w:pPr>
        <w:ind w:left="-2" w:firstLineChars="225" w:firstLine="540"/>
        <w:jc w:val="both"/>
        <w:rPr>
          <w:rFonts w:ascii="Candara" w:hAnsi="Candara"/>
        </w:rPr>
      </w:pPr>
      <w:r w:rsidRPr="00483C38">
        <w:rPr>
          <w:rFonts w:ascii="Candara" w:hAnsi="Candara"/>
        </w:rPr>
        <w:t xml:space="preserve">The mechanism of action of levofloxacin as an antibiotic is by inhibiting the formation of bacterial DNA by inhibiting topoisomerase II (DNA gyrase which functions to maintain </w:t>
      </w:r>
      <w:proofErr w:type="spellStart"/>
      <w:r w:rsidRPr="00483C38">
        <w:rPr>
          <w:rFonts w:ascii="Candara" w:hAnsi="Candara"/>
        </w:rPr>
        <w:t>superhelical</w:t>
      </w:r>
      <w:proofErr w:type="spellEnd"/>
      <w:r w:rsidRPr="00483C38">
        <w:rPr>
          <w:rFonts w:ascii="Candara" w:hAnsi="Candara"/>
        </w:rPr>
        <w:t xml:space="preserve"> bacterial DNA needed for DNA replication and transcription, DNA repair, recombination, and transition) and bacterial topoisomerase IV </w:t>
      </w:r>
      <w:proofErr w:type="gramStart"/>
      <w:r w:rsidRPr="00483C38">
        <w:rPr>
          <w:rFonts w:ascii="Candara" w:hAnsi="Candara"/>
        </w:rPr>
        <w:t>so as to</w:t>
      </w:r>
      <w:proofErr w:type="gramEnd"/>
      <w:r w:rsidRPr="00483C38">
        <w:rPr>
          <w:rFonts w:ascii="Candara" w:hAnsi="Candara"/>
        </w:rPr>
        <w:t xml:space="preserve"> prevent relaxation of DNA chains needed for transcription and replication. </w:t>
      </w:r>
    </w:p>
    <w:p w14:paraId="669B59B9" w14:textId="5C7B8AE7" w:rsidR="00216474" w:rsidRPr="00483C38" w:rsidRDefault="0061409A" w:rsidP="00220215">
      <w:pPr>
        <w:ind w:left="-2" w:firstLineChars="225" w:firstLine="540"/>
        <w:jc w:val="both"/>
        <w:rPr>
          <w:rFonts w:ascii="Candara" w:hAnsi="Candara"/>
        </w:rPr>
      </w:pPr>
      <w:r w:rsidRPr="00483C38">
        <w:rPr>
          <w:rFonts w:ascii="Candara" w:hAnsi="Candara"/>
        </w:rPr>
        <w:t xml:space="preserve">Levofloxacin has a peak action of 1-2 hours, excreted through the kidneys, and has a relatively long half-life of 6-8 hours, so it can be given at a dose once a day32,33. </w:t>
      </w:r>
    </w:p>
    <w:p w14:paraId="4BC70055" w14:textId="77777777" w:rsidR="0061409A" w:rsidRPr="00483C38" w:rsidRDefault="0061409A" w:rsidP="00B5001B">
      <w:pPr>
        <w:ind w:left="-2" w:firstLineChars="225" w:firstLine="540"/>
        <w:jc w:val="both"/>
        <w:rPr>
          <w:rFonts w:ascii="Candara" w:hAnsi="Candara"/>
        </w:rPr>
      </w:pPr>
      <w:r w:rsidRPr="00483C38">
        <w:rPr>
          <w:rFonts w:ascii="Candara" w:hAnsi="Candara"/>
        </w:rPr>
        <w:t xml:space="preserve">Levofloxacin is a third-generation fluoroquinolone group broad-spectrum antibiotic with better activity against gram-positive bacteria and has a lower level of bacterial resistance to antibiotics than fluoroquinolone and others. </w:t>
      </w:r>
    </w:p>
    <w:p w14:paraId="2C64A4CE" w14:textId="77777777" w:rsidR="0061409A" w:rsidRPr="00483C38" w:rsidRDefault="0061409A" w:rsidP="00B5001B">
      <w:pPr>
        <w:ind w:left="-2" w:firstLineChars="225" w:firstLine="540"/>
        <w:jc w:val="both"/>
        <w:rPr>
          <w:rFonts w:ascii="Candara" w:hAnsi="Candara"/>
        </w:rPr>
      </w:pPr>
      <w:r w:rsidRPr="00483C38">
        <w:rPr>
          <w:rFonts w:ascii="Candara" w:hAnsi="Candara"/>
        </w:rPr>
        <w:t xml:space="preserve">The results of other studies showed that about 20-30% of bacteria that cause urinary tract infections are resistant to fluoroquinolone antibiotics, especially ciprofloxacin 29.30. </w:t>
      </w:r>
    </w:p>
    <w:p w14:paraId="2C134A34" w14:textId="77777777" w:rsidR="0061409A" w:rsidRPr="00483C38" w:rsidRDefault="0061409A" w:rsidP="00B5001B">
      <w:pPr>
        <w:ind w:left="0" w:hanging="2"/>
        <w:rPr>
          <w:rFonts w:ascii="Candara" w:hAnsi="Candara"/>
          <w:b/>
          <w:bCs/>
        </w:rPr>
      </w:pPr>
      <w:r w:rsidRPr="00483C38">
        <w:rPr>
          <w:rFonts w:ascii="Candara" w:hAnsi="Candara"/>
          <w:b/>
          <w:bCs/>
        </w:rPr>
        <w:lastRenderedPageBreak/>
        <w:t>Antibiotic Use Profile Based on DU 90%</w:t>
      </w:r>
    </w:p>
    <w:p w14:paraId="7B127EC9" w14:textId="77777777" w:rsidR="0061409A" w:rsidRPr="00483C38" w:rsidRDefault="0061409A" w:rsidP="00B5001B">
      <w:pPr>
        <w:ind w:left="-2" w:firstLineChars="225" w:firstLine="540"/>
        <w:jc w:val="both"/>
        <w:rPr>
          <w:rFonts w:ascii="Candara" w:hAnsi="Candara"/>
        </w:rPr>
      </w:pPr>
      <w:r w:rsidRPr="00483C38">
        <w:rPr>
          <w:rFonts w:ascii="Candara" w:hAnsi="Candara"/>
        </w:rPr>
        <w:t xml:space="preserve">Drug Utilization (DU) 90% is obtained by dividing the number of DDD/100 patient-days, based on the type of antibiotic used at RSU X in East Jakarta by the total DDD/100 patient-days of all antibiotics used then at 100% times. The percentage of antibiotic use is further cumulative and sorted from the highest percentage to the lowest percentage. </w:t>
      </w:r>
    </w:p>
    <w:p w14:paraId="0F96D351" w14:textId="77777777" w:rsidR="0061409A" w:rsidRPr="00483C38" w:rsidRDefault="0061409A" w:rsidP="00B5001B">
      <w:pPr>
        <w:ind w:left="-2" w:firstLineChars="225" w:firstLine="540"/>
        <w:jc w:val="both"/>
        <w:rPr>
          <w:rFonts w:ascii="Candara" w:hAnsi="Candara"/>
        </w:rPr>
      </w:pPr>
      <w:r w:rsidRPr="00483C38">
        <w:rPr>
          <w:rFonts w:ascii="Candara" w:hAnsi="Candara"/>
        </w:rPr>
        <w:t>Drugs that enter the DU segment 90% are drugs that enter the accumulation of 90% on use. The DU profile of 90% of antibiotic use based on antibiotic type in RSU X 2019 can be seen in table 6.</w:t>
      </w:r>
    </w:p>
    <w:p w14:paraId="28358C4A" w14:textId="77777777" w:rsidR="0061409A" w:rsidRPr="00483C38" w:rsidRDefault="0061409A" w:rsidP="00B5001B">
      <w:pPr>
        <w:ind w:left="-2" w:firstLineChars="225" w:firstLine="540"/>
        <w:jc w:val="both"/>
        <w:rPr>
          <w:rFonts w:ascii="Candara" w:hAnsi="Candara"/>
        </w:rPr>
      </w:pPr>
      <w:r w:rsidRPr="00483C38">
        <w:rPr>
          <w:rFonts w:ascii="Candara" w:hAnsi="Candara"/>
        </w:rPr>
        <w:t xml:space="preserve">Table 6 shows that antibiotics that fall into the segment of 90% use (DU 90%) consist of levofloxacin (45.60%), ceftriaxone (21.54%), </w:t>
      </w:r>
      <w:proofErr w:type="spellStart"/>
      <w:r w:rsidRPr="00483C38">
        <w:rPr>
          <w:rFonts w:ascii="Candara" w:hAnsi="Candara"/>
        </w:rPr>
        <w:t>cefoperazon</w:t>
      </w:r>
      <w:proofErr w:type="spellEnd"/>
      <w:r w:rsidRPr="00483C38">
        <w:rPr>
          <w:rFonts w:ascii="Candara" w:hAnsi="Candara"/>
        </w:rPr>
        <w:t xml:space="preserve"> (11.33%), amoxicillin clavulanate (9.00%). While antibiotics included in the 10% DU segment are meropenem (3.56%), cefixime (3.03%), </w:t>
      </w:r>
      <w:proofErr w:type="spellStart"/>
      <w:r w:rsidRPr="00483C38">
        <w:rPr>
          <w:rFonts w:ascii="Candara" w:hAnsi="Candara"/>
        </w:rPr>
        <w:t>cefoperazon</w:t>
      </w:r>
      <w:proofErr w:type="spellEnd"/>
      <w:r w:rsidRPr="00483C38">
        <w:rPr>
          <w:rFonts w:ascii="Candara" w:hAnsi="Candara"/>
        </w:rPr>
        <w:t xml:space="preserve"> sulbactam (1.87%), ampicillin sulbactam (1.50%), cefotaxime (1.26%), </w:t>
      </w:r>
      <w:proofErr w:type="spellStart"/>
      <w:r w:rsidRPr="00483C38">
        <w:rPr>
          <w:rFonts w:ascii="Candara" w:hAnsi="Candara"/>
        </w:rPr>
        <w:t>phosphomycin</w:t>
      </w:r>
      <w:proofErr w:type="spellEnd"/>
      <w:r w:rsidRPr="00483C38">
        <w:rPr>
          <w:rFonts w:ascii="Candara" w:hAnsi="Candara"/>
        </w:rPr>
        <w:t xml:space="preserve"> (1.03%), and </w:t>
      </w:r>
      <w:proofErr w:type="spellStart"/>
      <w:r w:rsidRPr="00483C38">
        <w:rPr>
          <w:rFonts w:ascii="Candara" w:hAnsi="Candara"/>
        </w:rPr>
        <w:t>cefepim</w:t>
      </w:r>
      <w:proofErr w:type="spellEnd"/>
      <w:r w:rsidRPr="00483C38">
        <w:rPr>
          <w:rFonts w:ascii="Candara" w:hAnsi="Candara"/>
        </w:rPr>
        <w:t xml:space="preserve"> (0.28%). The results of this study are different from the research conducted at Dr. </w:t>
      </w:r>
      <w:proofErr w:type="spellStart"/>
      <w:r w:rsidRPr="00483C38">
        <w:rPr>
          <w:rFonts w:ascii="Candara" w:hAnsi="Candara"/>
        </w:rPr>
        <w:t>Moewardi</w:t>
      </w:r>
      <w:proofErr w:type="spellEnd"/>
      <w:r w:rsidRPr="00483C38">
        <w:rPr>
          <w:rFonts w:ascii="Candara" w:hAnsi="Candara"/>
        </w:rPr>
        <w:t xml:space="preserve"> hospital which showed that antibiotics with 90% DU in the hospital were ceftriaxone (63.97%), levofloxacin (24.42%), ciprofloxacin (4.34%), meropenem (3.49%), </w:t>
      </w:r>
      <w:proofErr w:type="spellStart"/>
      <w:r w:rsidRPr="00483C38">
        <w:rPr>
          <w:rFonts w:ascii="Candara" w:hAnsi="Candara"/>
        </w:rPr>
        <w:t>cefoperazon</w:t>
      </w:r>
      <w:proofErr w:type="spellEnd"/>
      <w:r w:rsidRPr="00483C38">
        <w:rPr>
          <w:rFonts w:ascii="Candara" w:hAnsi="Candara"/>
        </w:rPr>
        <w:t xml:space="preserve"> + sulbactam (2.76%), </w:t>
      </w:r>
      <w:proofErr w:type="spellStart"/>
      <w:r w:rsidRPr="00483C38">
        <w:rPr>
          <w:rFonts w:ascii="Candara" w:hAnsi="Candara"/>
        </w:rPr>
        <w:t>cephaloline</w:t>
      </w:r>
      <w:proofErr w:type="spellEnd"/>
      <w:r w:rsidRPr="00483C38">
        <w:rPr>
          <w:rFonts w:ascii="Candara" w:hAnsi="Candara"/>
        </w:rPr>
        <w:t xml:space="preserve"> (0.58%), and </w:t>
      </w:r>
      <w:proofErr w:type="spellStart"/>
      <w:r w:rsidRPr="00483C38">
        <w:rPr>
          <w:rFonts w:ascii="Candara" w:hAnsi="Candara"/>
        </w:rPr>
        <w:t>ceftazidim</w:t>
      </w:r>
      <w:proofErr w:type="spellEnd"/>
      <w:r w:rsidRPr="00483C38">
        <w:rPr>
          <w:rFonts w:ascii="Candara" w:hAnsi="Candara"/>
        </w:rPr>
        <w:t xml:space="preserve"> (0.44%)17. This difference can occur because, among others, there are differences in the number of samples in the study. </w:t>
      </w:r>
    </w:p>
    <w:p w14:paraId="571D3AF0" w14:textId="2953BFC3" w:rsidR="005C4A43" w:rsidRPr="00483C38" w:rsidRDefault="0061409A" w:rsidP="00220215">
      <w:pPr>
        <w:spacing w:line="240" w:lineRule="auto"/>
        <w:ind w:left="-2" w:firstLineChars="225" w:firstLine="540"/>
        <w:jc w:val="both"/>
        <w:rPr>
          <w:rFonts w:ascii="Candara" w:hAnsi="Candara"/>
        </w:rPr>
      </w:pPr>
      <w:r w:rsidRPr="00483C38">
        <w:rPr>
          <w:rFonts w:ascii="Candara" w:hAnsi="Candara"/>
        </w:rPr>
        <w:t>This research has obtained Ethical Approval from the RS X Ethics Committee Team in East Jakarta in 2019.</w:t>
      </w:r>
    </w:p>
    <w:p w14:paraId="226E6D7B" w14:textId="77777777" w:rsidR="00216474" w:rsidRPr="00483C38" w:rsidRDefault="00216474" w:rsidP="00216474">
      <w:pPr>
        <w:spacing w:line="240" w:lineRule="auto"/>
        <w:ind w:leftChars="0" w:left="0" w:firstLineChars="0" w:firstLine="0"/>
        <w:jc w:val="both"/>
        <w:rPr>
          <w:rFonts w:ascii="Candara" w:hAnsi="Candara"/>
          <w:spacing w:val="1"/>
        </w:rPr>
      </w:pPr>
    </w:p>
    <w:p w14:paraId="029EBE6B" w14:textId="73D1EA7A" w:rsidR="00BE7C68" w:rsidRPr="00483C38" w:rsidRDefault="00BE7C68" w:rsidP="009D1093">
      <w:pPr>
        <w:spacing w:line="240" w:lineRule="auto"/>
        <w:ind w:left="0" w:hanging="2"/>
        <w:jc w:val="both"/>
        <w:rPr>
          <w:rFonts w:ascii="Candara" w:eastAsia="Tahoma" w:hAnsi="Candara" w:cs="Al Bayan Plain"/>
          <w:b/>
        </w:rPr>
      </w:pPr>
      <w:r w:rsidRPr="00483C38">
        <w:rPr>
          <w:rFonts w:ascii="Candara" w:eastAsia="Tahoma" w:hAnsi="Candara" w:cs="Al Bayan Plain"/>
          <w:b/>
        </w:rPr>
        <w:t>CONCLUSION</w:t>
      </w:r>
    </w:p>
    <w:p w14:paraId="2A5CBD05" w14:textId="77777777" w:rsidR="0061409A" w:rsidRPr="00483C38" w:rsidRDefault="0061409A" w:rsidP="0060312E">
      <w:pPr>
        <w:spacing w:line="240" w:lineRule="auto"/>
        <w:ind w:left="-2" w:firstLineChars="225" w:firstLine="540"/>
        <w:jc w:val="both"/>
        <w:rPr>
          <w:rFonts w:ascii="Candara" w:hAnsi="Candara" w:cs="Arial"/>
          <w:iCs/>
          <w:color w:val="000000" w:themeColor="text1"/>
        </w:rPr>
      </w:pPr>
      <w:r w:rsidRPr="00483C38">
        <w:rPr>
          <w:rFonts w:ascii="Candara" w:hAnsi="Candara" w:cs="Arial"/>
          <w:iCs/>
          <w:color w:val="000000" w:themeColor="text1"/>
        </w:rPr>
        <w:t xml:space="preserve">Antibiotics used in urinary tract infection patients at the inpatient installation of RSU X in East Jakarta in 2019 as many as 11 types of antibiotics In single form (Levofloxacin, </w:t>
      </w:r>
      <w:proofErr w:type="spellStart"/>
      <w:r w:rsidRPr="00483C38">
        <w:rPr>
          <w:rFonts w:ascii="Candara" w:hAnsi="Candara" w:cs="Arial"/>
          <w:iCs/>
          <w:color w:val="000000" w:themeColor="text1"/>
        </w:rPr>
        <w:t>Seftriaxone</w:t>
      </w:r>
      <w:proofErr w:type="spellEnd"/>
      <w:r w:rsidRPr="00483C38">
        <w:rPr>
          <w:rFonts w:ascii="Candara" w:hAnsi="Candara" w:cs="Arial"/>
          <w:iCs/>
          <w:color w:val="000000" w:themeColor="text1"/>
        </w:rPr>
        <w:t xml:space="preserve">, Sefoperazon, Meropenem, </w:t>
      </w:r>
      <w:proofErr w:type="spellStart"/>
      <w:r w:rsidRPr="00483C38">
        <w:rPr>
          <w:rFonts w:ascii="Candara" w:hAnsi="Candara" w:cs="Arial"/>
          <w:iCs/>
          <w:color w:val="000000" w:themeColor="text1"/>
        </w:rPr>
        <w:t>Cefixim</w:t>
      </w:r>
      <w:proofErr w:type="spellEnd"/>
      <w:r w:rsidRPr="00483C38">
        <w:rPr>
          <w:rFonts w:ascii="Candara" w:hAnsi="Candara" w:cs="Arial"/>
          <w:iCs/>
          <w:color w:val="000000" w:themeColor="text1"/>
        </w:rPr>
        <w:t xml:space="preserve">, </w:t>
      </w:r>
      <w:proofErr w:type="spellStart"/>
      <w:r w:rsidRPr="00483C38">
        <w:rPr>
          <w:rFonts w:ascii="Candara" w:hAnsi="Candara" w:cs="Arial"/>
          <w:iCs/>
          <w:color w:val="000000" w:themeColor="text1"/>
        </w:rPr>
        <w:t>Sefotaxime</w:t>
      </w:r>
      <w:proofErr w:type="spellEnd"/>
      <w:r w:rsidRPr="00483C38">
        <w:rPr>
          <w:rFonts w:ascii="Candara" w:hAnsi="Candara" w:cs="Arial"/>
          <w:iCs/>
          <w:color w:val="000000" w:themeColor="text1"/>
        </w:rPr>
        <w:t xml:space="preserve">, </w:t>
      </w:r>
      <w:proofErr w:type="spellStart"/>
      <w:r w:rsidRPr="00483C38">
        <w:rPr>
          <w:rFonts w:ascii="Candara" w:hAnsi="Candara" w:cs="Arial"/>
          <w:iCs/>
          <w:color w:val="000000" w:themeColor="text1"/>
        </w:rPr>
        <w:t>Phosphomycin</w:t>
      </w:r>
      <w:proofErr w:type="spellEnd"/>
      <w:r w:rsidRPr="00483C38">
        <w:rPr>
          <w:rFonts w:ascii="Candara" w:hAnsi="Candara" w:cs="Arial"/>
          <w:iCs/>
          <w:color w:val="000000" w:themeColor="text1"/>
        </w:rPr>
        <w:t xml:space="preserve">, </w:t>
      </w:r>
      <w:proofErr w:type="spellStart"/>
      <w:r w:rsidRPr="00483C38">
        <w:rPr>
          <w:rFonts w:ascii="Candara" w:hAnsi="Candara" w:cs="Arial"/>
          <w:iCs/>
          <w:color w:val="000000" w:themeColor="text1"/>
        </w:rPr>
        <w:t>Sefepim</w:t>
      </w:r>
      <w:proofErr w:type="spellEnd"/>
      <w:r w:rsidRPr="00483C38">
        <w:rPr>
          <w:rFonts w:ascii="Candara" w:hAnsi="Candara" w:cs="Arial"/>
          <w:iCs/>
          <w:color w:val="000000" w:themeColor="text1"/>
        </w:rPr>
        <w:t xml:space="preserve">, whereas, in the form of a combination of Clavulanate amoxicillin, Sefoperazon sulbactam, and Ampicillin sulbactam, 2) The results of quantitative analysis obtained total DDD / 100 patients-days was 96.65% with each DDD / 100 value patient-days levofloxacin 44,07 %, ceftriaxone 20,82 %, </w:t>
      </w:r>
      <w:proofErr w:type="spellStart"/>
      <w:r w:rsidRPr="00483C38">
        <w:rPr>
          <w:rFonts w:ascii="Candara" w:hAnsi="Candara" w:cs="Arial"/>
          <w:iCs/>
          <w:color w:val="000000" w:themeColor="text1"/>
        </w:rPr>
        <w:t>cefoperazon</w:t>
      </w:r>
      <w:proofErr w:type="spellEnd"/>
      <w:r w:rsidRPr="00483C38">
        <w:rPr>
          <w:rFonts w:ascii="Candara" w:hAnsi="Candara" w:cs="Arial"/>
          <w:iCs/>
          <w:color w:val="000000" w:themeColor="text1"/>
        </w:rPr>
        <w:t xml:space="preserve"> 10,95 %, amoxicillin clavulanate 8,69 %, meropenem 3,44 % cefixime 2,93 % </w:t>
      </w:r>
      <w:proofErr w:type="spellStart"/>
      <w:r w:rsidRPr="00483C38">
        <w:rPr>
          <w:rFonts w:ascii="Candara" w:hAnsi="Candara" w:cs="Arial"/>
          <w:iCs/>
          <w:color w:val="000000" w:themeColor="text1"/>
        </w:rPr>
        <w:t>sefoperazon</w:t>
      </w:r>
      <w:proofErr w:type="spellEnd"/>
      <w:r w:rsidRPr="00483C38">
        <w:rPr>
          <w:rFonts w:ascii="Candara" w:hAnsi="Candara" w:cs="Arial"/>
          <w:iCs/>
          <w:color w:val="000000" w:themeColor="text1"/>
        </w:rPr>
        <w:t xml:space="preserve"> </w:t>
      </w:r>
      <w:proofErr w:type="spellStart"/>
      <w:r w:rsidRPr="00483C38">
        <w:rPr>
          <w:rFonts w:ascii="Candara" w:hAnsi="Candara" w:cs="Arial"/>
          <w:iCs/>
          <w:color w:val="000000" w:themeColor="text1"/>
        </w:rPr>
        <w:t>sulbaktam</w:t>
      </w:r>
      <w:proofErr w:type="spellEnd"/>
      <w:r w:rsidRPr="00483C38">
        <w:rPr>
          <w:rFonts w:ascii="Candara" w:hAnsi="Candara" w:cs="Arial"/>
          <w:iCs/>
          <w:color w:val="000000" w:themeColor="text1"/>
        </w:rPr>
        <w:t xml:space="preserve"> 1,81 %, ampicillin sulbactam 1,45 % cefotaxime 1,22 % </w:t>
      </w:r>
      <w:proofErr w:type="spellStart"/>
      <w:r w:rsidRPr="00483C38">
        <w:rPr>
          <w:rFonts w:ascii="Candara" w:hAnsi="Candara" w:cs="Arial"/>
          <w:iCs/>
          <w:color w:val="000000" w:themeColor="text1"/>
        </w:rPr>
        <w:t>phosphomycin</w:t>
      </w:r>
      <w:proofErr w:type="spellEnd"/>
      <w:r w:rsidRPr="00483C38">
        <w:rPr>
          <w:rFonts w:ascii="Candara" w:hAnsi="Candara" w:cs="Arial"/>
          <w:iCs/>
          <w:color w:val="000000" w:themeColor="text1"/>
        </w:rPr>
        <w:t xml:space="preserve"> 1,00 %, and </w:t>
      </w:r>
      <w:proofErr w:type="spellStart"/>
      <w:r w:rsidRPr="00483C38">
        <w:rPr>
          <w:rFonts w:ascii="Candara" w:hAnsi="Candara" w:cs="Arial"/>
          <w:iCs/>
          <w:color w:val="000000" w:themeColor="text1"/>
        </w:rPr>
        <w:t>cefepim</w:t>
      </w:r>
      <w:proofErr w:type="spellEnd"/>
      <w:r w:rsidRPr="00483C38">
        <w:rPr>
          <w:rFonts w:ascii="Candara" w:hAnsi="Candara" w:cs="Arial"/>
          <w:iCs/>
          <w:color w:val="000000" w:themeColor="text1"/>
        </w:rPr>
        <w:t xml:space="preserve"> 0,27 %. 3) Antibiotics included in the 90% DU segment are levofloxacin 45.60%, ceftriaxone 21.54%, </w:t>
      </w:r>
      <w:proofErr w:type="spellStart"/>
      <w:r w:rsidRPr="00483C38">
        <w:rPr>
          <w:rFonts w:ascii="Candara" w:hAnsi="Candara" w:cs="Arial"/>
          <w:iCs/>
          <w:color w:val="000000" w:themeColor="text1"/>
        </w:rPr>
        <w:t>cefoperazon</w:t>
      </w:r>
      <w:proofErr w:type="spellEnd"/>
      <w:r w:rsidRPr="00483C38">
        <w:rPr>
          <w:rFonts w:ascii="Candara" w:hAnsi="Candara" w:cs="Arial"/>
          <w:iCs/>
          <w:color w:val="000000" w:themeColor="text1"/>
        </w:rPr>
        <w:t xml:space="preserve"> 11.33%, and amoxicillin clavulanate 9.00%.</w:t>
      </w:r>
    </w:p>
    <w:p w14:paraId="13BB5164" w14:textId="77777777" w:rsidR="00226D26" w:rsidRPr="00483C38" w:rsidRDefault="00226D26" w:rsidP="00226D26">
      <w:pPr>
        <w:spacing w:line="240" w:lineRule="auto"/>
        <w:ind w:leftChars="0" w:left="0" w:firstLineChars="0" w:firstLine="0"/>
        <w:jc w:val="both"/>
        <w:rPr>
          <w:rFonts w:ascii="Candara" w:eastAsia="Tahoma" w:hAnsi="Candara" w:cs="Al Bayan Plain"/>
          <w:b/>
          <w:smallCaps/>
        </w:rPr>
      </w:pPr>
    </w:p>
    <w:p w14:paraId="5659C592" w14:textId="77777777" w:rsidR="00C603CA" w:rsidRDefault="00C603CA" w:rsidP="00315170">
      <w:pPr>
        <w:spacing w:line="240" w:lineRule="auto"/>
        <w:ind w:left="0" w:hanging="2"/>
        <w:jc w:val="both"/>
        <w:rPr>
          <w:rFonts w:ascii="Candara" w:eastAsia="Tahoma" w:hAnsi="Candara" w:cs="Al Bayan Plain"/>
          <w:b/>
          <w:smallCaps/>
        </w:rPr>
      </w:pPr>
    </w:p>
    <w:p w14:paraId="30319BEC" w14:textId="77777777" w:rsidR="00C603CA" w:rsidRDefault="00C603CA" w:rsidP="00315170">
      <w:pPr>
        <w:spacing w:line="240" w:lineRule="auto"/>
        <w:ind w:left="0" w:hanging="2"/>
        <w:jc w:val="both"/>
        <w:rPr>
          <w:rFonts w:ascii="Candara" w:eastAsia="Tahoma" w:hAnsi="Candara" w:cs="Al Bayan Plain"/>
          <w:b/>
          <w:smallCaps/>
        </w:rPr>
      </w:pPr>
    </w:p>
    <w:p w14:paraId="3F6644BF" w14:textId="77777777" w:rsidR="00C603CA" w:rsidRDefault="00C603CA" w:rsidP="00315170">
      <w:pPr>
        <w:spacing w:line="240" w:lineRule="auto"/>
        <w:ind w:left="0" w:hanging="2"/>
        <w:jc w:val="both"/>
        <w:rPr>
          <w:rFonts w:ascii="Candara" w:eastAsia="Tahoma" w:hAnsi="Candara" w:cs="Al Bayan Plain"/>
          <w:b/>
          <w:smallCaps/>
        </w:rPr>
      </w:pPr>
    </w:p>
    <w:p w14:paraId="24EC581F" w14:textId="77777777" w:rsidR="00C603CA" w:rsidRDefault="00C603CA" w:rsidP="00315170">
      <w:pPr>
        <w:spacing w:line="240" w:lineRule="auto"/>
        <w:ind w:left="0" w:hanging="2"/>
        <w:jc w:val="both"/>
        <w:rPr>
          <w:rFonts w:ascii="Candara" w:eastAsia="Tahoma" w:hAnsi="Candara" w:cs="Al Bayan Plain"/>
          <w:b/>
          <w:smallCaps/>
        </w:rPr>
      </w:pPr>
    </w:p>
    <w:p w14:paraId="208F3999" w14:textId="77777777" w:rsidR="00645F79" w:rsidRDefault="00645F79" w:rsidP="00315170">
      <w:pPr>
        <w:spacing w:line="240" w:lineRule="auto"/>
        <w:ind w:left="0" w:hanging="2"/>
        <w:jc w:val="both"/>
        <w:rPr>
          <w:rFonts w:ascii="Candara" w:eastAsia="Tahoma" w:hAnsi="Candara" w:cs="Al Bayan Plain"/>
          <w:b/>
          <w:smallCaps/>
        </w:rPr>
      </w:pPr>
    </w:p>
    <w:p w14:paraId="19DEBC0A" w14:textId="77777777" w:rsidR="00645F79" w:rsidRDefault="00645F79" w:rsidP="00315170">
      <w:pPr>
        <w:spacing w:line="240" w:lineRule="auto"/>
        <w:ind w:left="0" w:hanging="2"/>
        <w:jc w:val="both"/>
        <w:rPr>
          <w:rFonts w:ascii="Candara" w:eastAsia="Tahoma" w:hAnsi="Candara" w:cs="Al Bayan Plain"/>
          <w:b/>
          <w:smallCaps/>
        </w:rPr>
      </w:pPr>
    </w:p>
    <w:p w14:paraId="12AC61FD" w14:textId="77777777" w:rsidR="00645F79" w:rsidRDefault="00645F79" w:rsidP="00315170">
      <w:pPr>
        <w:spacing w:line="240" w:lineRule="auto"/>
        <w:ind w:left="0" w:hanging="2"/>
        <w:jc w:val="both"/>
        <w:rPr>
          <w:rFonts w:ascii="Candara" w:eastAsia="Tahoma" w:hAnsi="Candara" w:cs="Al Bayan Plain"/>
          <w:b/>
          <w:smallCaps/>
        </w:rPr>
      </w:pPr>
    </w:p>
    <w:p w14:paraId="1918E5D6" w14:textId="51682F53" w:rsidR="00347558" w:rsidRPr="00483C38" w:rsidRDefault="00E35D87" w:rsidP="00315170">
      <w:pPr>
        <w:spacing w:line="240" w:lineRule="auto"/>
        <w:ind w:left="0" w:hanging="2"/>
        <w:jc w:val="both"/>
        <w:rPr>
          <w:rFonts w:ascii="Candara" w:eastAsia="Tahoma" w:hAnsi="Candara" w:cs="Al Bayan Plain"/>
          <w:b/>
          <w:smallCaps/>
        </w:rPr>
      </w:pPr>
      <w:r w:rsidRPr="00483C38">
        <w:rPr>
          <w:rFonts w:ascii="Candara" w:eastAsia="Tahoma" w:hAnsi="Candara" w:cs="Al Bayan Plain"/>
          <w:b/>
          <w:smallCaps/>
        </w:rPr>
        <w:lastRenderedPageBreak/>
        <w:t>BIBLIOGRAPHY</w:t>
      </w:r>
    </w:p>
    <w:sdt>
      <w:sdtPr>
        <w:rPr>
          <w:rFonts w:ascii="Candara" w:hAnsi="Candara"/>
        </w:rPr>
        <w:tag w:val="MENDELEY_BIBLIOGRAPHY"/>
        <w:id w:val="-2086219582"/>
        <w:placeholder>
          <w:docPart w:val="DF4C0B81ECDA4B93B7705609A98CEF13"/>
        </w:placeholder>
      </w:sdtPr>
      <w:sdtContent>
        <w:p w14:paraId="20887174" w14:textId="09C54DC1" w:rsidR="00C603CA" w:rsidRPr="00C603CA" w:rsidRDefault="003F18EE" w:rsidP="00C603CA">
          <w:pPr>
            <w:widowControl w:val="0"/>
            <w:autoSpaceDE w:val="0"/>
            <w:autoSpaceDN w:val="0"/>
            <w:adjustRightInd w:val="0"/>
            <w:spacing w:line="240" w:lineRule="atLeast"/>
            <w:ind w:left="538" w:hangingChars="225" w:hanging="540"/>
            <w:rPr>
              <w:rFonts w:ascii="Candara" w:hAnsi="Candara"/>
              <w:noProof/>
            </w:rPr>
          </w:pPr>
          <w:r w:rsidRPr="00483C38">
            <w:rPr>
              <w:rFonts w:ascii="Candara" w:hAnsi="Candara"/>
            </w:rPr>
            <w:fldChar w:fldCharType="begin" w:fldLock="1"/>
          </w:r>
          <w:r w:rsidRPr="00483C38">
            <w:rPr>
              <w:rFonts w:ascii="Candara" w:hAnsi="Candara"/>
            </w:rPr>
            <w:instrText xml:space="preserve">ADDIN Mendeley Bibliography CSL_BIBLIOGRAPHY </w:instrText>
          </w:r>
          <w:r w:rsidRPr="00483C38">
            <w:rPr>
              <w:rFonts w:ascii="Candara" w:hAnsi="Candara"/>
            </w:rPr>
            <w:fldChar w:fldCharType="separate"/>
          </w:r>
          <w:r w:rsidR="00C603CA" w:rsidRPr="00C603CA">
            <w:rPr>
              <w:rFonts w:ascii="Candara" w:hAnsi="Candara"/>
              <w:noProof/>
            </w:rPr>
            <w:t xml:space="preserve">Apriyanti, Y.F. (2023) ‘APPLICATION OF THE ATC/DDD METHOD FOR ANTIBIOTIC EVALUATION IN INDONESIA’, </w:t>
          </w:r>
          <w:r w:rsidR="00C603CA" w:rsidRPr="00C603CA">
            <w:rPr>
              <w:rFonts w:ascii="Candara" w:hAnsi="Candara"/>
              <w:i/>
              <w:iCs/>
              <w:noProof/>
            </w:rPr>
            <w:t>Medical Sains: Jurnal Ilmiah Kefarmasian</w:t>
          </w:r>
          <w:r w:rsidR="00C603CA" w:rsidRPr="00C603CA">
            <w:rPr>
              <w:rFonts w:ascii="Candara" w:hAnsi="Candara"/>
              <w:noProof/>
            </w:rPr>
            <w:t>, 8(3), pp. 1323–1344.</w:t>
          </w:r>
        </w:p>
        <w:p w14:paraId="2D752251"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Beadini, Albin </w:t>
          </w:r>
          <w:r w:rsidRPr="00C603CA">
            <w:rPr>
              <w:rFonts w:ascii="Candara" w:hAnsi="Candara"/>
              <w:i/>
              <w:iCs/>
              <w:noProof/>
            </w:rPr>
            <w:t>et al.</w:t>
          </w:r>
          <w:r w:rsidRPr="00C603CA">
            <w:rPr>
              <w:rFonts w:ascii="Candara" w:hAnsi="Candara"/>
              <w:noProof/>
            </w:rPr>
            <w:t xml:space="preserve"> (2023) ‘URINE ANALYSIS AND URINARY TRACT INFECTIONS IN THE REGION OF THE POPULATION OF TETOVO’, </w:t>
          </w:r>
          <w:r w:rsidRPr="00C603CA">
            <w:rPr>
              <w:rFonts w:ascii="Candara" w:hAnsi="Candara"/>
              <w:i/>
              <w:iCs/>
              <w:noProof/>
            </w:rPr>
            <w:t>ACTA MEDICA BALKANICA International Journal of Medical Sciences</w:t>
          </w:r>
          <w:r w:rsidRPr="00C603CA">
            <w:rPr>
              <w:rFonts w:ascii="Candara" w:hAnsi="Candara"/>
              <w:noProof/>
            </w:rPr>
            <w:t>, 8(15–16), pp. 43–50.</w:t>
          </w:r>
        </w:p>
        <w:p w14:paraId="01B25997"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Hikmawati, I. and Setiyabudi, R. (2021) ‘Epidemiology of COVID-19 in Indonesia: common source and propagated source as a cause for outbreaks’, </w:t>
          </w:r>
          <w:r w:rsidRPr="00C603CA">
            <w:rPr>
              <w:rFonts w:ascii="Candara" w:hAnsi="Candara"/>
              <w:i/>
              <w:iCs/>
              <w:noProof/>
            </w:rPr>
            <w:t>The Journal of Infection in Developing Countries</w:t>
          </w:r>
          <w:r w:rsidRPr="00C603CA">
            <w:rPr>
              <w:rFonts w:ascii="Candara" w:hAnsi="Candara"/>
              <w:noProof/>
            </w:rPr>
            <w:t>, 15(05), pp. 646–652.</w:t>
          </w:r>
        </w:p>
        <w:p w14:paraId="3223B95E"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Homey, K. (2018) ‘The flight from womanhood: The masculinity-complex in women, as viewed by men and women’, in </w:t>
          </w:r>
          <w:r w:rsidRPr="00C603CA">
            <w:rPr>
              <w:rFonts w:ascii="Candara" w:hAnsi="Candara"/>
              <w:i/>
              <w:iCs/>
              <w:noProof/>
            </w:rPr>
            <w:t>Female Sexuality</w:t>
          </w:r>
          <w:r w:rsidRPr="00C603CA">
            <w:rPr>
              <w:rFonts w:ascii="Candara" w:hAnsi="Candara"/>
              <w:noProof/>
            </w:rPr>
            <w:t>. Routledge, pp. 107–121.</w:t>
          </w:r>
        </w:p>
        <w:p w14:paraId="1F8B17E1"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Insani, Y. and Wunaini, N. (2018) ‘Hubungan jarak mata dan intensitas pencahayaan terhadap computer vision syndrome’, </w:t>
          </w:r>
          <w:r w:rsidRPr="00C603CA">
            <w:rPr>
              <w:rFonts w:ascii="Candara" w:hAnsi="Candara"/>
              <w:i/>
              <w:iCs/>
              <w:noProof/>
            </w:rPr>
            <w:t>Jurnal Manajemen Kesehatan Yayasan RS. Dr. Soetomo</w:t>
          </w:r>
          <w:r w:rsidRPr="00C603CA">
            <w:rPr>
              <w:rFonts w:ascii="Candara" w:hAnsi="Candara"/>
              <w:noProof/>
            </w:rPr>
            <w:t>, 4(2), pp. 153–162.</w:t>
          </w:r>
        </w:p>
        <w:p w14:paraId="361FDD38"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Karuniawati, A., van Doorn, H.R. and Hamers, R.L. (2022) ‘Optimizing antibiotic use in Indonesia: A systematic review and evidence synthesis to inform opportunities for intervention’.</w:t>
          </w:r>
        </w:p>
        <w:p w14:paraId="7F7675F2"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Mantu, S.A. (2015) ‘Citizenship in times of terror. Citizenship deprivation in the UK’.</w:t>
          </w:r>
        </w:p>
        <w:p w14:paraId="7E97C57D"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Morris, A.M. (2014) ‘Antimicrobial stewardship programs: appropriate measures and metrics to study their impact’, </w:t>
          </w:r>
          <w:r w:rsidRPr="00C603CA">
            <w:rPr>
              <w:rFonts w:ascii="Candara" w:hAnsi="Candara"/>
              <w:i/>
              <w:iCs/>
              <w:noProof/>
            </w:rPr>
            <w:t>Current treatment options in infectious diseases</w:t>
          </w:r>
          <w:r w:rsidRPr="00C603CA">
            <w:rPr>
              <w:rFonts w:ascii="Candara" w:hAnsi="Candara"/>
              <w:noProof/>
            </w:rPr>
            <w:t>, 6, pp. 101–112.</w:t>
          </w:r>
        </w:p>
        <w:p w14:paraId="1F8040ED"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Noori, M. </w:t>
          </w:r>
          <w:r w:rsidRPr="00C603CA">
            <w:rPr>
              <w:rFonts w:ascii="Candara" w:hAnsi="Candara"/>
              <w:i/>
              <w:iCs/>
              <w:noProof/>
            </w:rPr>
            <w:t>et al.</w:t>
          </w:r>
          <w:r w:rsidRPr="00C603CA">
            <w:rPr>
              <w:rFonts w:ascii="Candara" w:hAnsi="Candara"/>
              <w:noProof/>
            </w:rPr>
            <w:t xml:space="preserve"> (2023) ‘A Retrospective Cross-sectional Study on Prevalence and Susceptibility Pattern of Bacterial Pathogens Causing Urinary Tract Infections at a Teaching Hospital in Tehran, Iran’, </w:t>
          </w:r>
          <w:r w:rsidRPr="00C603CA">
            <w:rPr>
              <w:rFonts w:ascii="Candara" w:hAnsi="Candara"/>
              <w:i/>
              <w:iCs/>
              <w:noProof/>
            </w:rPr>
            <w:t>Archives of Pediatric Infectious Diseases</w:t>
          </w:r>
          <w:r w:rsidRPr="00C603CA">
            <w:rPr>
              <w:rFonts w:ascii="Candara" w:hAnsi="Candara"/>
              <w:noProof/>
            </w:rPr>
            <w:t>, 11(2).</w:t>
          </w:r>
        </w:p>
        <w:p w14:paraId="164788F6"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Öztürk, R. and Murt, A. (2020) ‘Epidemiology of urological infections: a global burden’, </w:t>
          </w:r>
          <w:r w:rsidRPr="00C603CA">
            <w:rPr>
              <w:rFonts w:ascii="Candara" w:hAnsi="Candara"/>
              <w:i/>
              <w:iCs/>
              <w:noProof/>
            </w:rPr>
            <w:t>World journal of urology</w:t>
          </w:r>
          <w:r w:rsidRPr="00C603CA">
            <w:rPr>
              <w:rFonts w:ascii="Candara" w:hAnsi="Candara"/>
              <w:noProof/>
            </w:rPr>
            <w:t>, 38, pp. 2669–2679.</w:t>
          </w:r>
        </w:p>
        <w:p w14:paraId="515DF612"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Ramaraj, R. (2014) ‘A Study on Nosocomial Infection in Intensive Medical Care Unit-incidence, pattern and etiology’. Tirunelveli Medical College, Tirunelveli.</w:t>
          </w:r>
        </w:p>
        <w:p w14:paraId="1CB5ECEE"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Sykes, J.E. and Westropp, J.L. (2014) ‘Bacterial infections of the genitourinary tract’, </w:t>
          </w:r>
          <w:r w:rsidRPr="00C603CA">
            <w:rPr>
              <w:rFonts w:ascii="Candara" w:hAnsi="Candara"/>
              <w:i/>
              <w:iCs/>
              <w:noProof/>
            </w:rPr>
            <w:t>Canine and feline infectious diseases</w:t>
          </w:r>
          <w:r w:rsidRPr="00C603CA">
            <w:rPr>
              <w:rFonts w:ascii="Candara" w:hAnsi="Candara"/>
              <w:noProof/>
            </w:rPr>
            <w:t>, p. 871.</w:t>
          </w:r>
        </w:p>
        <w:p w14:paraId="0A4F1884"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Talebi Bezmin Abadi, A. </w:t>
          </w:r>
          <w:r w:rsidRPr="00C603CA">
            <w:rPr>
              <w:rFonts w:ascii="Candara" w:hAnsi="Candara"/>
              <w:i/>
              <w:iCs/>
              <w:noProof/>
            </w:rPr>
            <w:t>et al.</w:t>
          </w:r>
          <w:r w:rsidRPr="00C603CA">
            <w:rPr>
              <w:rFonts w:ascii="Candara" w:hAnsi="Candara"/>
              <w:noProof/>
            </w:rPr>
            <w:t xml:space="preserve"> (2019) ‘World Health Organization report: current crisis of antibiotic resistance’, </w:t>
          </w:r>
          <w:r w:rsidRPr="00C603CA">
            <w:rPr>
              <w:rFonts w:ascii="Candara" w:hAnsi="Candara"/>
              <w:i/>
              <w:iCs/>
              <w:noProof/>
            </w:rPr>
            <w:t>BioNanoScience</w:t>
          </w:r>
          <w:r w:rsidRPr="00C603CA">
            <w:rPr>
              <w:rFonts w:ascii="Candara" w:hAnsi="Candara"/>
              <w:noProof/>
            </w:rPr>
            <w:t>, 9, pp. 778–788.</w:t>
          </w:r>
        </w:p>
        <w:p w14:paraId="176C4052"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Tanwar, H. </w:t>
          </w:r>
          <w:r w:rsidRPr="00C603CA">
            <w:rPr>
              <w:rFonts w:ascii="Candara" w:hAnsi="Candara"/>
              <w:i/>
              <w:iCs/>
              <w:noProof/>
            </w:rPr>
            <w:t>et al.</w:t>
          </w:r>
          <w:r w:rsidRPr="00C603CA">
            <w:rPr>
              <w:rFonts w:ascii="Candara" w:hAnsi="Candara"/>
              <w:noProof/>
            </w:rPr>
            <w:t xml:space="preserve"> (2018) ‘Anti-inflammatory activity of the functional groups present in Hippophae rhamnoides (Seabuckthorn) leaf extract’, </w:t>
          </w:r>
          <w:r w:rsidRPr="00C603CA">
            <w:rPr>
              <w:rFonts w:ascii="Candara" w:hAnsi="Candara"/>
              <w:i/>
              <w:iCs/>
              <w:noProof/>
            </w:rPr>
            <w:t>Inflammopharmacology</w:t>
          </w:r>
          <w:r w:rsidRPr="00C603CA">
            <w:rPr>
              <w:rFonts w:ascii="Candara" w:hAnsi="Candara"/>
              <w:noProof/>
            </w:rPr>
            <w:t>, 26, pp. 291–301.</w:t>
          </w:r>
        </w:p>
        <w:p w14:paraId="2EEC3E64"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Walsh, C. and Collyns, T. (2017) ‘The pathophysiology of urinary tract infections’, </w:t>
          </w:r>
          <w:r w:rsidRPr="00C603CA">
            <w:rPr>
              <w:rFonts w:ascii="Candara" w:hAnsi="Candara"/>
              <w:i/>
              <w:iCs/>
              <w:noProof/>
            </w:rPr>
            <w:t>Surgery (Oxford)</w:t>
          </w:r>
          <w:r w:rsidRPr="00C603CA">
            <w:rPr>
              <w:rFonts w:ascii="Candara" w:hAnsi="Candara"/>
              <w:noProof/>
            </w:rPr>
            <w:t>, 35(6), pp. 293–298.</w:t>
          </w:r>
        </w:p>
        <w:p w14:paraId="38224970" w14:textId="77777777" w:rsidR="00C603CA" w:rsidRPr="00C603CA" w:rsidRDefault="00C603CA" w:rsidP="00C603CA">
          <w:pPr>
            <w:widowControl w:val="0"/>
            <w:autoSpaceDE w:val="0"/>
            <w:autoSpaceDN w:val="0"/>
            <w:adjustRightInd w:val="0"/>
            <w:spacing w:line="240" w:lineRule="atLeast"/>
            <w:ind w:left="538" w:hangingChars="225" w:hanging="540"/>
            <w:rPr>
              <w:rFonts w:ascii="Candara" w:hAnsi="Candara"/>
              <w:noProof/>
            </w:rPr>
          </w:pPr>
          <w:r w:rsidRPr="00C603CA">
            <w:rPr>
              <w:rFonts w:ascii="Candara" w:hAnsi="Candara"/>
              <w:noProof/>
            </w:rPr>
            <w:t xml:space="preserve">Yulia, R., Mariza, J.W. and Herawati, F. (2020) ‘Bacterial profile and antibiotic use in pneumonia patients at dr. Soetomo general hospital’, </w:t>
          </w:r>
          <w:r w:rsidRPr="00C603CA">
            <w:rPr>
              <w:rFonts w:ascii="Candara" w:hAnsi="Candara"/>
              <w:i/>
              <w:iCs/>
              <w:noProof/>
            </w:rPr>
            <w:t>Current Respiratory Medicine Reviews</w:t>
          </w:r>
          <w:r w:rsidRPr="00C603CA">
            <w:rPr>
              <w:rFonts w:ascii="Candara" w:hAnsi="Candara"/>
              <w:noProof/>
            </w:rPr>
            <w:t>, 16(1), pp. 21–27.</w:t>
          </w:r>
        </w:p>
        <w:p w14:paraId="152DA922" w14:textId="25611EB2" w:rsidR="003F18EE" w:rsidRPr="00483C38" w:rsidRDefault="003F18EE" w:rsidP="00C603CA">
          <w:pPr>
            <w:widowControl w:val="0"/>
            <w:autoSpaceDE w:val="0"/>
            <w:autoSpaceDN w:val="0"/>
            <w:adjustRightInd w:val="0"/>
            <w:spacing w:line="240" w:lineRule="auto"/>
            <w:ind w:left="538" w:hangingChars="225" w:hanging="540"/>
            <w:rPr>
              <w:rFonts w:ascii="Candara" w:hAnsi="Candara"/>
            </w:rPr>
          </w:pPr>
          <w:r w:rsidRPr="00483C38">
            <w:rPr>
              <w:rFonts w:ascii="Candara" w:hAnsi="Candara"/>
            </w:rPr>
            <w:fldChar w:fldCharType="end"/>
          </w:r>
        </w:p>
        <w:p w14:paraId="08807BDC" w14:textId="2BB23369" w:rsidR="003A2E1A" w:rsidRPr="00C603CA" w:rsidRDefault="00000000" w:rsidP="00C603CA">
          <w:pPr>
            <w:spacing w:line="240" w:lineRule="auto"/>
            <w:ind w:leftChars="0" w:left="0" w:firstLineChars="0" w:firstLine="0"/>
            <w:jc w:val="both"/>
            <w:rPr>
              <w:rFonts w:ascii="Candara" w:hAnsi="Candara"/>
            </w:rPr>
          </w:pPr>
        </w:p>
      </w:sdtContent>
    </w:sdt>
    <w:tbl>
      <w:tblPr>
        <w:tblW w:w="8647" w:type="dxa"/>
        <w:tblBorders>
          <w:top w:val="single" w:sz="18" w:space="0" w:color="70AD47"/>
        </w:tblBorders>
        <w:tblLayout w:type="fixed"/>
        <w:tblLook w:val="0400" w:firstRow="0" w:lastRow="0" w:firstColumn="0" w:lastColumn="0" w:noHBand="0" w:noVBand="1"/>
      </w:tblPr>
      <w:tblGrid>
        <w:gridCol w:w="8647"/>
      </w:tblGrid>
      <w:tr w:rsidR="008508C8" w:rsidRPr="00483C38" w14:paraId="5AA99B0C" w14:textId="77777777" w:rsidTr="000A5089">
        <w:trPr>
          <w:trHeight w:val="19"/>
        </w:trPr>
        <w:tc>
          <w:tcPr>
            <w:tcW w:w="8647" w:type="dxa"/>
            <w:shd w:val="clear" w:color="auto" w:fill="auto"/>
          </w:tcPr>
          <w:p w14:paraId="46F34217" w14:textId="77777777" w:rsidR="008508C8" w:rsidRPr="00483C38" w:rsidRDefault="008508C8" w:rsidP="009D1093">
            <w:pPr>
              <w:spacing w:line="240" w:lineRule="auto"/>
              <w:ind w:left="0" w:right="-393" w:hanging="2"/>
              <w:jc w:val="center"/>
              <w:rPr>
                <w:rFonts w:ascii="Candara" w:hAnsi="Candara" w:cs="Al Bayan Plain"/>
                <w:b/>
              </w:rPr>
            </w:pPr>
            <w:r w:rsidRPr="00483C38">
              <w:rPr>
                <w:rFonts w:ascii="Candara" w:hAnsi="Candara" w:cs="Al Bayan Plain"/>
                <w:b/>
              </w:rPr>
              <w:lastRenderedPageBreak/>
              <w:t>Copyright holder:</w:t>
            </w:r>
          </w:p>
          <w:p w14:paraId="7D3B5A1F" w14:textId="78339EBC" w:rsidR="008508C8" w:rsidRPr="00483C38" w:rsidRDefault="003F18EE" w:rsidP="009D1093">
            <w:pPr>
              <w:spacing w:line="240" w:lineRule="auto"/>
              <w:ind w:left="0" w:right="-393" w:hanging="2"/>
              <w:jc w:val="center"/>
              <w:rPr>
                <w:rFonts w:ascii="Candara" w:hAnsi="Candara" w:cs="Al Bayan Plain"/>
              </w:rPr>
            </w:pPr>
            <w:bookmarkStart w:id="1" w:name="_heading=h.30j0zll" w:colFirst="0" w:colLast="0"/>
            <w:bookmarkEnd w:id="1"/>
            <w:r w:rsidRPr="00483C38">
              <w:rPr>
                <w:rFonts w:ascii="Candara" w:hAnsi="Candara" w:cs="Al Bayan Plain"/>
              </w:rPr>
              <w:t xml:space="preserve">Mahdiah, Eflin </w:t>
            </w:r>
            <w:proofErr w:type="spellStart"/>
            <w:r w:rsidRPr="00483C38">
              <w:rPr>
                <w:rFonts w:ascii="Candara" w:hAnsi="Candara" w:cs="Al Bayan Plain"/>
              </w:rPr>
              <w:t>Roito</w:t>
            </w:r>
            <w:proofErr w:type="spellEnd"/>
            <w:r w:rsidRPr="00483C38">
              <w:rPr>
                <w:rFonts w:ascii="Candara" w:hAnsi="Candara" w:cs="Al Bayan Plain"/>
              </w:rPr>
              <w:t xml:space="preserve"> Tampubolon </w:t>
            </w:r>
            <w:r w:rsidR="008508C8" w:rsidRPr="00483C38">
              <w:rPr>
                <w:rFonts w:ascii="Candara" w:hAnsi="Candara" w:cs="Al Bayan Plain"/>
              </w:rPr>
              <w:t>(2023)</w:t>
            </w:r>
          </w:p>
          <w:p w14:paraId="68FD5B6F" w14:textId="77777777" w:rsidR="008508C8" w:rsidRPr="00483C38" w:rsidRDefault="008508C8" w:rsidP="009D1093">
            <w:pPr>
              <w:spacing w:line="240" w:lineRule="auto"/>
              <w:ind w:left="0" w:right="-393" w:hanging="2"/>
              <w:jc w:val="center"/>
              <w:rPr>
                <w:rFonts w:ascii="Candara" w:hAnsi="Candara" w:cs="Al Bayan Plain"/>
              </w:rPr>
            </w:pPr>
          </w:p>
        </w:tc>
      </w:tr>
      <w:tr w:rsidR="008508C8" w:rsidRPr="00483C38" w14:paraId="432F2C37" w14:textId="77777777" w:rsidTr="000A5089">
        <w:trPr>
          <w:trHeight w:val="19"/>
        </w:trPr>
        <w:tc>
          <w:tcPr>
            <w:tcW w:w="8647" w:type="dxa"/>
            <w:shd w:val="clear" w:color="auto" w:fill="auto"/>
          </w:tcPr>
          <w:p w14:paraId="37AE0083" w14:textId="77777777" w:rsidR="008508C8" w:rsidRPr="00483C38" w:rsidRDefault="008508C8" w:rsidP="009D1093">
            <w:pPr>
              <w:spacing w:line="240" w:lineRule="auto"/>
              <w:ind w:left="0" w:right="-393" w:hanging="2"/>
              <w:jc w:val="center"/>
              <w:rPr>
                <w:rFonts w:ascii="Candara" w:hAnsi="Candara" w:cs="Al Bayan Plain"/>
              </w:rPr>
            </w:pPr>
            <w:r w:rsidRPr="00483C38">
              <w:rPr>
                <w:rFonts w:ascii="Candara" w:hAnsi="Candara" w:cs="Al Bayan Plain"/>
              </w:rPr>
              <w:t>First publication right:</w:t>
            </w:r>
          </w:p>
          <w:p w14:paraId="295683AC" w14:textId="77777777" w:rsidR="008508C8" w:rsidRPr="00483C38" w:rsidRDefault="008508C8" w:rsidP="009D1093">
            <w:pPr>
              <w:spacing w:line="240" w:lineRule="auto"/>
              <w:ind w:left="0" w:right="-393" w:hanging="2"/>
              <w:jc w:val="center"/>
              <w:rPr>
                <w:rFonts w:ascii="Candara" w:hAnsi="Candara" w:cs="Al Bayan Plain"/>
              </w:rPr>
            </w:pPr>
            <w:r w:rsidRPr="00483C38">
              <w:rPr>
                <w:rFonts w:ascii="Candara" w:hAnsi="Candara" w:cs="Al Bayan Plain"/>
              </w:rPr>
              <w:t>Jurnal Health Sains</w:t>
            </w:r>
          </w:p>
          <w:p w14:paraId="77062E67" w14:textId="77777777" w:rsidR="008508C8" w:rsidRPr="00483C38" w:rsidRDefault="008508C8" w:rsidP="009D1093">
            <w:pPr>
              <w:spacing w:line="240" w:lineRule="auto"/>
              <w:ind w:left="0" w:right="-393" w:hanging="2"/>
              <w:jc w:val="center"/>
              <w:rPr>
                <w:rFonts w:ascii="Candara" w:hAnsi="Candara" w:cs="Al Bayan Plain"/>
              </w:rPr>
            </w:pPr>
          </w:p>
        </w:tc>
      </w:tr>
      <w:tr w:rsidR="008508C8" w:rsidRPr="00483C38" w14:paraId="27EB5742" w14:textId="77777777" w:rsidTr="000A5089">
        <w:trPr>
          <w:trHeight w:val="94"/>
        </w:trPr>
        <w:tc>
          <w:tcPr>
            <w:tcW w:w="8647" w:type="dxa"/>
            <w:shd w:val="clear" w:color="auto" w:fill="auto"/>
          </w:tcPr>
          <w:p w14:paraId="03C00B22" w14:textId="13B2B4D4" w:rsidR="008508C8" w:rsidRPr="00483C38" w:rsidRDefault="008508C8" w:rsidP="009D1093">
            <w:pPr>
              <w:spacing w:line="240" w:lineRule="auto"/>
              <w:ind w:left="0" w:hanging="2"/>
              <w:jc w:val="center"/>
              <w:rPr>
                <w:rFonts w:ascii="Candara" w:eastAsia="Tahoma" w:hAnsi="Candara" w:cs="Al Bayan Plain"/>
              </w:rPr>
            </w:pPr>
            <w:r w:rsidRPr="00483C38">
              <w:rPr>
                <w:rFonts w:ascii="Candara" w:eastAsia="Tahoma" w:hAnsi="Candara" w:cs="Al Bayan Plain"/>
              </w:rPr>
              <w:t xml:space="preserve">     This article is licensed under:</w:t>
            </w:r>
          </w:p>
          <w:p w14:paraId="7977BFF6" w14:textId="03B10C4E" w:rsidR="008508C8" w:rsidRPr="00483C38" w:rsidRDefault="008508C8" w:rsidP="009D1093">
            <w:pPr>
              <w:spacing w:line="240" w:lineRule="auto"/>
              <w:ind w:left="0" w:hanging="2"/>
              <w:jc w:val="center"/>
              <w:rPr>
                <w:rFonts w:ascii="Candara" w:eastAsia="Tahoma" w:hAnsi="Candara" w:cs="Al Bayan Plain"/>
                <w:smallCaps/>
                <w:sz w:val="20"/>
                <w:szCs w:val="20"/>
              </w:rPr>
            </w:pPr>
            <w:r w:rsidRPr="00483C38">
              <w:rPr>
                <w:rFonts w:ascii="Candara" w:eastAsia="Tahoma" w:hAnsi="Candara" w:cs="Al Bayan Plain"/>
                <w:noProof/>
                <w:color w:val="FFFFFF" w:themeColor="background1"/>
                <w:sz w:val="20"/>
                <w:szCs w:val="20"/>
                <w:u w:val="single"/>
              </w:rPr>
              <w:t xml:space="preserve">         </w:t>
            </w:r>
            <w:hyperlink r:id="rId16">
              <w:r w:rsidRPr="00483C38">
                <w:rPr>
                  <w:rFonts w:ascii="Candara" w:eastAsia="Tahoma" w:hAnsi="Candara" w:cs="Al Bayan Plain"/>
                  <w:noProof/>
                  <w:color w:val="1155CC"/>
                  <w:sz w:val="20"/>
                  <w:szCs w:val="20"/>
                  <w:u w:val="single"/>
                </w:rPr>
                <w:drawing>
                  <wp:inline distT="0" distB="0" distL="0" distR="0" wp14:anchorId="0A7F4437" wp14:editId="4F68B62A">
                    <wp:extent cx="840105" cy="296545"/>
                    <wp:effectExtent l="0" t="0" r="0" b="0"/>
                    <wp:docPr id="23" name="image3.jpg" descr="WhatsApp Image 2021-06-26 at 17"/>
                    <wp:cNvGraphicFramePr/>
                    <a:graphic xmlns:a="http://schemas.openxmlformats.org/drawingml/2006/main">
                      <a:graphicData uri="http://schemas.openxmlformats.org/drawingml/2006/picture">
                        <pic:pic xmlns:pic="http://schemas.openxmlformats.org/drawingml/2006/picture">
                          <pic:nvPicPr>
                            <pic:cNvPr id="0" name="image3.jpg" descr="WhatsApp Image 2021-06-26 at 17"/>
                            <pic:cNvPicPr preferRelativeResize="0"/>
                          </pic:nvPicPr>
                          <pic:blipFill>
                            <a:blip r:embed="rId17"/>
                            <a:srcRect/>
                            <a:stretch>
                              <a:fillRect/>
                            </a:stretch>
                          </pic:blipFill>
                          <pic:spPr>
                            <a:xfrm>
                              <a:off x="0" y="0"/>
                              <a:ext cx="840105" cy="296545"/>
                            </a:xfrm>
                            <a:prstGeom prst="rect">
                              <a:avLst/>
                            </a:prstGeom>
                            <a:ln/>
                          </pic:spPr>
                        </pic:pic>
                      </a:graphicData>
                    </a:graphic>
                  </wp:inline>
                </w:drawing>
              </w:r>
            </w:hyperlink>
          </w:p>
          <w:p w14:paraId="020C2B72" w14:textId="77777777" w:rsidR="008508C8" w:rsidRPr="00483C38" w:rsidRDefault="008508C8" w:rsidP="009D1093">
            <w:pPr>
              <w:spacing w:line="240" w:lineRule="auto"/>
              <w:ind w:left="0" w:right="-393" w:hanging="2"/>
              <w:jc w:val="center"/>
              <w:rPr>
                <w:rFonts w:ascii="Candara" w:hAnsi="Candara" w:cs="Al Bayan Plain"/>
              </w:rPr>
            </w:pPr>
          </w:p>
        </w:tc>
      </w:tr>
    </w:tbl>
    <w:p w14:paraId="3ED56A83" w14:textId="77777777" w:rsidR="003A2E1A" w:rsidRPr="00483C38" w:rsidRDefault="003A2E1A" w:rsidP="009D1093">
      <w:pPr>
        <w:tabs>
          <w:tab w:val="left" w:pos="8925"/>
        </w:tabs>
        <w:spacing w:line="240" w:lineRule="auto"/>
        <w:ind w:left="0" w:hanging="2"/>
        <w:rPr>
          <w:rFonts w:ascii="Candara" w:hAnsi="Candara" w:cs="Al Bayan Plain"/>
          <w:sz w:val="22"/>
          <w:szCs w:val="22"/>
        </w:rPr>
      </w:pPr>
    </w:p>
    <w:sectPr w:rsidR="003A2E1A" w:rsidRPr="00483C38">
      <w:footerReference w:type="even" r:id="rId18"/>
      <w:footerReference w:type="default" r:id="rId19"/>
      <w:footerReference w:type="first" r:id="rId20"/>
      <w:type w:val="continuous"/>
      <w:pgSz w:w="11907" w:h="16840"/>
      <w:pgMar w:top="1701" w:right="1701" w:bottom="1701" w:left="1701" w:header="72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C2B0" w14:textId="77777777" w:rsidR="000147D8" w:rsidRDefault="000147D8">
      <w:pPr>
        <w:spacing w:line="240" w:lineRule="auto"/>
        <w:ind w:left="0" w:hanging="2"/>
      </w:pPr>
      <w:r>
        <w:separator/>
      </w:r>
    </w:p>
  </w:endnote>
  <w:endnote w:type="continuationSeparator" w:id="0">
    <w:p w14:paraId="722D5611" w14:textId="77777777" w:rsidR="000147D8" w:rsidRDefault="000147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A00002AF" w:usb1="500078FB"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l Bayan Plain">
    <w:charset w:val="B2"/>
    <w:family w:val="auto"/>
    <w:pitch w:val="variable"/>
    <w:sig w:usb0="00002001" w:usb1="0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2CEE"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2BAA" w14:textId="557E92BF" w:rsidR="003A2E1A" w:rsidRDefault="00443C4B">
    <w:pPr>
      <w:pBdr>
        <w:top w:val="nil"/>
        <w:left w:val="nil"/>
        <w:bottom w:val="nil"/>
        <w:right w:val="nil"/>
        <w:between w:val="nil"/>
      </w:pBdr>
      <w:tabs>
        <w:tab w:val="center" w:pos="4680"/>
        <w:tab w:val="right" w:pos="9360"/>
      </w:tabs>
      <w:spacing w:line="240" w:lineRule="auto"/>
      <w:ind w:left="0" w:hanging="2"/>
      <w:jc w:val="right"/>
      <w:rPr>
        <w:rFonts w:ascii="Tahoma" w:eastAsia="Tahoma" w:hAnsi="Tahoma" w:cs="Tahoma"/>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D8299F">
      <w:rPr>
        <w:rFonts w:ascii="Tahoma" w:eastAsia="Tahoma" w:hAnsi="Tahoma" w:cs="Tahoma"/>
        <w:noProof/>
        <w:color w:val="000000"/>
        <w:sz w:val="20"/>
        <w:szCs w:val="20"/>
      </w:rPr>
      <w:t>141</w:t>
    </w:r>
    <w:r>
      <w:rPr>
        <w:rFonts w:ascii="Tahoma" w:eastAsia="Tahoma" w:hAnsi="Tahoma" w:cs="Tahoma"/>
        <w:color w:val="000000"/>
        <w:sz w:val="20"/>
        <w:szCs w:val="20"/>
      </w:rPr>
      <w:fldChar w:fldCharType="end"/>
    </w:r>
  </w:p>
  <w:p w14:paraId="0FEAF0BA"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76FC" w14:textId="670D2CAA" w:rsidR="003A2E1A" w:rsidRPr="00D85E69" w:rsidRDefault="0094659A" w:rsidP="00D85E69">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bookmarkStart w:id="0" w:name="_Hlk137470850"/>
    <w:r>
      <w:rPr>
        <w:rFonts w:ascii="Tahoma" w:eastAsia="Tahoma" w:hAnsi="Tahoma" w:cs="Tahoma"/>
        <w:color w:val="000000"/>
        <w:sz w:val="20"/>
        <w:szCs w:val="20"/>
      </w:rPr>
      <w:t>Jurnal Health Sains</w:t>
    </w:r>
    <w:r w:rsidR="00443C4B">
      <w:rPr>
        <w:rFonts w:ascii="Tahoma" w:eastAsia="Tahoma" w:hAnsi="Tahoma" w:cs="Tahoma"/>
        <w:color w:val="000000"/>
        <w:sz w:val="20"/>
        <w:szCs w:val="20"/>
      </w:rPr>
      <w:t>, Vol. 0</w:t>
    </w:r>
    <w:r w:rsidR="005901B2">
      <w:rPr>
        <w:rFonts w:ascii="Tahoma" w:eastAsia="Tahoma" w:hAnsi="Tahoma" w:cs="Tahoma"/>
        <w:color w:val="000000"/>
        <w:sz w:val="20"/>
        <w:szCs w:val="20"/>
      </w:rPr>
      <w:t>4</w:t>
    </w:r>
    <w:r w:rsidR="00443C4B">
      <w:rPr>
        <w:rFonts w:ascii="Tahoma" w:eastAsia="Tahoma" w:hAnsi="Tahoma" w:cs="Tahoma"/>
        <w:color w:val="000000"/>
        <w:sz w:val="20"/>
        <w:szCs w:val="20"/>
      </w:rPr>
      <w:t xml:space="preserve">, No. </w:t>
    </w:r>
    <w:r w:rsidR="00AE7E6D">
      <w:rPr>
        <w:rFonts w:ascii="Tahoma" w:eastAsia="Tahoma" w:hAnsi="Tahoma" w:cs="Tahoma"/>
        <w:color w:val="000000"/>
        <w:sz w:val="20"/>
        <w:szCs w:val="20"/>
      </w:rPr>
      <w:t>10</w:t>
    </w:r>
    <w:r w:rsidR="00443C4B">
      <w:rPr>
        <w:rFonts w:ascii="Tahoma" w:eastAsia="Tahoma" w:hAnsi="Tahoma" w:cs="Tahoma"/>
        <w:color w:val="000000"/>
        <w:sz w:val="20"/>
        <w:szCs w:val="20"/>
      </w:rPr>
      <w:t xml:space="preserve">, </w:t>
    </w:r>
    <w:r w:rsidR="00AE7E6D">
      <w:rPr>
        <w:rFonts w:ascii="Tahoma" w:eastAsia="Tahoma" w:hAnsi="Tahoma" w:cs="Tahoma"/>
        <w:color w:val="000000"/>
        <w:sz w:val="20"/>
        <w:szCs w:val="20"/>
      </w:rPr>
      <w:t>October</w:t>
    </w:r>
    <w:r w:rsidR="00D16590">
      <w:rPr>
        <w:rFonts w:ascii="Tahoma" w:eastAsia="Tahoma" w:hAnsi="Tahoma" w:cs="Tahoma"/>
        <w:color w:val="000000"/>
        <w:sz w:val="20"/>
        <w:szCs w:val="20"/>
      </w:rPr>
      <w:t xml:space="preserve"> </w:t>
    </w:r>
    <w:r w:rsidR="00443C4B">
      <w:rPr>
        <w:rFonts w:ascii="Tahoma" w:eastAsia="Tahoma" w:hAnsi="Tahoma" w:cs="Tahoma"/>
        <w:color w:val="000000"/>
        <w:sz w:val="20"/>
        <w:szCs w:val="20"/>
      </w:rPr>
      <w:t>202</w:t>
    </w:r>
    <w:r w:rsidR="005901B2">
      <w:rPr>
        <w:rFonts w:ascii="Tahoma" w:eastAsia="Tahoma" w:hAnsi="Tahoma" w:cs="Tahoma"/>
        <w:color w:val="000000"/>
        <w:sz w:val="20"/>
        <w:szCs w:val="20"/>
      </w:rPr>
      <w:t>3</w:t>
    </w:r>
    <w:r w:rsidR="00443C4B">
      <w:rPr>
        <w:rFonts w:ascii="Tahoma" w:eastAsia="Tahoma" w:hAnsi="Tahoma" w:cs="Tahoma"/>
        <w:color w:val="000000"/>
        <w:sz w:val="20"/>
        <w:szCs w:val="20"/>
      </w:rPr>
      <w:t xml:space="preserve">     </w:t>
    </w:r>
    <w:bookmarkEnd w:id="0"/>
    <w:r w:rsidR="00443C4B">
      <w:rPr>
        <w:rFonts w:ascii="Tahoma" w:eastAsia="Tahoma" w:hAnsi="Tahoma" w:cs="Tahoma"/>
        <w:color w:val="000000"/>
        <w:sz w:val="20"/>
        <w:szCs w:val="20"/>
      </w:rPr>
      <w:t xml:space="preserve">  </w:t>
    </w:r>
    <w:r w:rsidR="00E35D87">
      <w:rPr>
        <w:rFonts w:ascii="Tahoma" w:eastAsia="Tahoma" w:hAnsi="Tahoma" w:cs="Tahoma"/>
        <w:color w:val="000000"/>
        <w:sz w:val="20"/>
        <w:szCs w:val="20"/>
      </w:rPr>
      <w:tab/>
    </w:r>
    <w:r w:rsidR="00443C4B">
      <w:rPr>
        <w:rFonts w:ascii="Tahoma" w:eastAsia="Tahoma" w:hAnsi="Tahoma" w:cs="Tahoma"/>
        <w:color w:val="000000"/>
        <w:sz w:val="20"/>
        <w:szCs w:val="20"/>
      </w:rPr>
      <w:fldChar w:fldCharType="begin"/>
    </w:r>
    <w:r w:rsidR="00443C4B">
      <w:rPr>
        <w:rFonts w:ascii="Tahoma" w:eastAsia="Tahoma" w:hAnsi="Tahoma" w:cs="Tahoma"/>
        <w:color w:val="000000"/>
        <w:sz w:val="20"/>
        <w:szCs w:val="20"/>
      </w:rPr>
      <w:instrText>PAGE</w:instrText>
    </w:r>
    <w:r w:rsidR="00443C4B">
      <w:rPr>
        <w:rFonts w:ascii="Tahoma" w:eastAsia="Tahoma" w:hAnsi="Tahoma" w:cs="Tahoma"/>
        <w:color w:val="000000"/>
        <w:sz w:val="20"/>
        <w:szCs w:val="20"/>
      </w:rPr>
      <w:fldChar w:fldCharType="separate"/>
    </w:r>
    <w:r w:rsidR="00B36C7F">
      <w:rPr>
        <w:rFonts w:ascii="Tahoma" w:eastAsia="Tahoma" w:hAnsi="Tahoma" w:cs="Tahoma"/>
        <w:noProof/>
        <w:color w:val="000000"/>
        <w:sz w:val="20"/>
        <w:szCs w:val="20"/>
      </w:rPr>
      <w:t>139</w:t>
    </w:r>
    <w:r w:rsidR="00443C4B">
      <w:rPr>
        <w:rFonts w:ascii="Tahoma" w:eastAsia="Tahoma" w:hAnsi="Tahoma" w:cs="Tahoma"/>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3BAC" w14:textId="77777777" w:rsidR="00AE7E6D" w:rsidRDefault="00AE7E6D" w:rsidP="00AE7E6D">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sidRPr="00E35D87">
      <w:rPr>
        <w:rFonts w:ascii="Tahoma" w:eastAsia="Tahoma" w:hAnsi="Tahoma" w:cs="Tahoma"/>
        <w:color w:val="000000"/>
        <w:sz w:val="20"/>
        <w:szCs w:val="20"/>
      </w:rPr>
      <w:t xml:space="preserve">Jurnal Health Sains, Vol. 04, No. </w:t>
    </w:r>
    <w:r>
      <w:rPr>
        <w:rFonts w:ascii="Tahoma" w:eastAsia="Tahoma" w:hAnsi="Tahoma" w:cs="Tahoma"/>
        <w:color w:val="000000"/>
        <w:sz w:val="20"/>
        <w:szCs w:val="20"/>
      </w:rPr>
      <w:t>10</w:t>
    </w:r>
    <w:r w:rsidRPr="00E35D87">
      <w:rPr>
        <w:rFonts w:ascii="Tahoma" w:eastAsia="Tahoma" w:hAnsi="Tahoma" w:cs="Tahoma"/>
        <w:color w:val="000000"/>
        <w:sz w:val="20"/>
        <w:szCs w:val="20"/>
      </w:rPr>
      <w:t xml:space="preserve">, </w:t>
    </w:r>
    <w:r>
      <w:rPr>
        <w:rFonts w:ascii="Tahoma" w:eastAsia="Tahoma" w:hAnsi="Tahoma" w:cs="Tahoma"/>
        <w:color w:val="000000"/>
        <w:sz w:val="20"/>
        <w:szCs w:val="20"/>
      </w:rPr>
      <w:t xml:space="preserve">October </w:t>
    </w:r>
    <w:r w:rsidRPr="00E35D87">
      <w:rPr>
        <w:rFonts w:ascii="Tahoma" w:eastAsia="Tahoma" w:hAnsi="Tahoma" w:cs="Tahoma"/>
        <w:color w:val="000000"/>
        <w:sz w:val="20"/>
        <w:szCs w:val="20"/>
      </w:rPr>
      <w:t xml:space="preserve">2023     </w:t>
    </w:r>
    <w:r>
      <w:rPr>
        <w:rFonts w:ascii="Tahoma" w:eastAsia="Tahoma" w:hAnsi="Tahoma" w:cs="Tahoma"/>
        <w:color w:val="000000"/>
        <w:sz w:val="20"/>
        <w:szCs w:val="20"/>
      </w:rPr>
      <w:tab/>
      <w:t xml:space="preserve">   </w:t>
    </w: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t>121</w:t>
    </w:r>
    <w:r>
      <w:rPr>
        <w:rFonts w:ascii="Tahoma" w:eastAsia="Tahoma" w:hAnsi="Tahoma" w:cs="Tahoma"/>
        <w:color w:val="000000"/>
        <w:sz w:val="20"/>
        <w:szCs w:val="20"/>
      </w:rPr>
      <w:fldChar w:fldCharType="end"/>
    </w:r>
  </w:p>
  <w:p w14:paraId="6C70CDB8" w14:textId="77777777" w:rsidR="00953472" w:rsidRDefault="00953472" w:rsidP="00216474">
    <w:pPr>
      <w:ind w:leftChars="0" w:left="0"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250F" w14:textId="1B6BF9E9" w:rsidR="003A2E1A" w:rsidRDefault="00E35D87">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sidRPr="00E35D87">
      <w:rPr>
        <w:rFonts w:ascii="Tahoma" w:eastAsia="Tahoma" w:hAnsi="Tahoma" w:cs="Tahoma"/>
        <w:color w:val="000000"/>
        <w:sz w:val="20"/>
        <w:szCs w:val="20"/>
      </w:rPr>
      <w:t xml:space="preserve">Jurnal Health Sains, Vol. 04, No. </w:t>
    </w:r>
    <w:r w:rsidR="00AE7E6D">
      <w:rPr>
        <w:rFonts w:ascii="Tahoma" w:eastAsia="Tahoma" w:hAnsi="Tahoma" w:cs="Tahoma"/>
        <w:color w:val="000000"/>
        <w:sz w:val="20"/>
        <w:szCs w:val="20"/>
      </w:rPr>
      <w:t>10</w:t>
    </w:r>
    <w:r w:rsidRPr="00E35D87">
      <w:rPr>
        <w:rFonts w:ascii="Tahoma" w:eastAsia="Tahoma" w:hAnsi="Tahoma" w:cs="Tahoma"/>
        <w:color w:val="000000"/>
        <w:sz w:val="20"/>
        <w:szCs w:val="20"/>
      </w:rPr>
      <w:t xml:space="preserve">, </w:t>
    </w:r>
    <w:r w:rsidR="00AE7E6D">
      <w:rPr>
        <w:rFonts w:ascii="Tahoma" w:eastAsia="Tahoma" w:hAnsi="Tahoma" w:cs="Tahoma"/>
        <w:color w:val="000000"/>
        <w:sz w:val="20"/>
        <w:szCs w:val="20"/>
      </w:rPr>
      <w:t>October</w:t>
    </w:r>
    <w:r w:rsidR="00D16590">
      <w:rPr>
        <w:rFonts w:ascii="Tahoma" w:eastAsia="Tahoma" w:hAnsi="Tahoma" w:cs="Tahoma"/>
        <w:color w:val="000000"/>
        <w:sz w:val="20"/>
        <w:szCs w:val="20"/>
      </w:rPr>
      <w:t xml:space="preserve"> </w:t>
    </w:r>
    <w:r w:rsidRPr="00E35D87">
      <w:rPr>
        <w:rFonts w:ascii="Tahoma" w:eastAsia="Tahoma" w:hAnsi="Tahoma" w:cs="Tahoma"/>
        <w:color w:val="000000"/>
        <w:sz w:val="20"/>
        <w:szCs w:val="20"/>
      </w:rPr>
      <w:t xml:space="preserve">2023     </w:t>
    </w:r>
    <w:r w:rsidR="00443C4B">
      <w:rPr>
        <w:rFonts w:ascii="Tahoma" w:eastAsia="Tahoma" w:hAnsi="Tahoma" w:cs="Tahoma"/>
        <w:color w:val="000000"/>
        <w:sz w:val="20"/>
        <w:szCs w:val="20"/>
      </w:rPr>
      <w:tab/>
    </w:r>
    <w:r w:rsidR="0040727E">
      <w:rPr>
        <w:rFonts w:ascii="Tahoma" w:eastAsia="Tahoma" w:hAnsi="Tahoma" w:cs="Tahoma"/>
        <w:color w:val="000000"/>
        <w:sz w:val="20"/>
        <w:szCs w:val="20"/>
      </w:rPr>
      <w:t xml:space="preserve">   </w:t>
    </w:r>
    <w:r w:rsidR="00443C4B">
      <w:rPr>
        <w:rFonts w:ascii="Tahoma" w:eastAsia="Tahoma" w:hAnsi="Tahoma" w:cs="Tahoma"/>
        <w:color w:val="000000"/>
        <w:sz w:val="20"/>
        <w:szCs w:val="20"/>
      </w:rPr>
      <w:fldChar w:fldCharType="begin"/>
    </w:r>
    <w:r w:rsidR="00443C4B">
      <w:rPr>
        <w:rFonts w:ascii="Tahoma" w:eastAsia="Tahoma" w:hAnsi="Tahoma" w:cs="Tahoma"/>
        <w:color w:val="000000"/>
        <w:sz w:val="20"/>
        <w:szCs w:val="20"/>
      </w:rPr>
      <w:instrText>PAGE</w:instrText>
    </w:r>
    <w:r w:rsidR="00443C4B">
      <w:rPr>
        <w:rFonts w:ascii="Tahoma" w:eastAsia="Tahoma" w:hAnsi="Tahoma" w:cs="Tahoma"/>
        <w:color w:val="000000"/>
        <w:sz w:val="20"/>
        <w:szCs w:val="20"/>
      </w:rPr>
      <w:fldChar w:fldCharType="separate"/>
    </w:r>
    <w:r w:rsidR="00B36C7F">
      <w:rPr>
        <w:rFonts w:ascii="Tahoma" w:eastAsia="Tahoma" w:hAnsi="Tahoma" w:cs="Tahoma"/>
        <w:noProof/>
        <w:color w:val="000000"/>
        <w:sz w:val="20"/>
        <w:szCs w:val="20"/>
      </w:rPr>
      <w:t>141</w:t>
    </w:r>
    <w:r w:rsidR="00443C4B">
      <w:rPr>
        <w:rFonts w:ascii="Tahoma" w:eastAsia="Tahoma" w:hAnsi="Tahoma" w:cs="Tahoma"/>
        <w:color w:val="000000"/>
        <w:sz w:val="20"/>
        <w:szCs w:val="20"/>
      </w:rPr>
      <w:fldChar w:fldCharType="end"/>
    </w:r>
  </w:p>
  <w:p w14:paraId="1FBEE4B0" w14:textId="77777777" w:rsidR="00953472" w:rsidRDefault="00953472" w:rsidP="00216474">
    <w:pPr>
      <w:ind w:leftChars="0" w:left="0"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D837" w14:textId="5241043C" w:rsidR="003A2E1A" w:rsidRDefault="00443C4B">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FE7F39">
      <w:rPr>
        <w:rFonts w:ascii="Tahoma" w:eastAsia="Tahoma" w:hAnsi="Tahoma" w:cs="Tahoma"/>
        <w:noProof/>
        <w:color w:val="000000"/>
        <w:sz w:val="20"/>
        <w:szCs w:val="20"/>
      </w:rPr>
      <w:t>140</w:t>
    </w:r>
    <w:r>
      <w:rPr>
        <w:rFonts w:ascii="Tahoma" w:eastAsia="Tahoma" w:hAnsi="Tahoma" w:cs="Tahoma"/>
        <w:color w:val="000000"/>
        <w:sz w:val="20"/>
        <w:szCs w:val="20"/>
      </w:rPr>
      <w:fldChar w:fldCharType="end"/>
    </w:r>
  </w:p>
  <w:p w14:paraId="4DAC8BEC"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p w14:paraId="234E5F52" w14:textId="77777777" w:rsidR="00F24CA4" w:rsidRDefault="00F24CA4">
    <w:pPr>
      <w:ind w:left="0" w:hanging="2"/>
    </w:pPr>
  </w:p>
  <w:p w14:paraId="7B4A80A1" w14:textId="77777777" w:rsidR="00F24CA4" w:rsidRDefault="00F24CA4">
    <w:pPr>
      <w:ind w:left="0" w:hanging="2"/>
    </w:pPr>
  </w:p>
  <w:p w14:paraId="298F3AC4" w14:textId="77777777" w:rsidR="004B39CF" w:rsidRDefault="004B39CF">
    <w:pPr>
      <w:ind w:left="0" w:hanging="2"/>
    </w:pPr>
  </w:p>
  <w:p w14:paraId="56DDC5BC" w14:textId="77777777" w:rsidR="004B39CF" w:rsidRDefault="004B39CF">
    <w:pPr>
      <w:ind w:left="0" w:hanging="2"/>
    </w:pPr>
  </w:p>
  <w:p w14:paraId="7F1CE21C" w14:textId="77777777" w:rsidR="004B39CF" w:rsidRDefault="004B39CF">
    <w:pPr>
      <w:ind w:left="0" w:hanging="2"/>
    </w:pPr>
  </w:p>
  <w:p w14:paraId="129682F7" w14:textId="77777777" w:rsidR="004B39CF" w:rsidRDefault="004B39CF">
    <w:pPr>
      <w:ind w:left="0" w:hanging="2"/>
    </w:pPr>
  </w:p>
  <w:p w14:paraId="3234CBE4" w14:textId="77777777" w:rsidR="00953472" w:rsidRDefault="00953472">
    <w:pPr>
      <w:ind w:left="0" w:hanging="2"/>
    </w:pPr>
  </w:p>
  <w:p w14:paraId="398816CD" w14:textId="77777777" w:rsidR="00953472" w:rsidRDefault="00953472">
    <w:pPr>
      <w:ind w:left="0" w:hanging="2"/>
    </w:pPr>
  </w:p>
  <w:p w14:paraId="504E0FE1" w14:textId="77777777" w:rsidR="00953472" w:rsidRDefault="00953472">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37C0" w14:textId="77777777" w:rsidR="000147D8" w:rsidRDefault="000147D8">
      <w:pPr>
        <w:spacing w:line="240" w:lineRule="auto"/>
        <w:ind w:left="0" w:hanging="2"/>
      </w:pPr>
      <w:r>
        <w:separator/>
      </w:r>
    </w:p>
  </w:footnote>
  <w:footnote w:type="continuationSeparator" w:id="0">
    <w:p w14:paraId="2567D7CE" w14:textId="77777777" w:rsidR="000147D8" w:rsidRDefault="000147D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069F" w14:textId="77777777" w:rsidR="00347558" w:rsidRDefault="00347558" w:rsidP="00347558">
    <w:pPr>
      <w:pStyle w:val="Header"/>
      <w:ind w:leftChars="0" w:left="0" w:firstLineChars="0" w:firstLine="0"/>
      <w:rPr>
        <w:rFonts w:ascii="Tahoma" w:eastAsia="Tahoma" w:hAnsi="Tahoma" w:cs="Tahoma"/>
        <w:color w:val="000000"/>
        <w:sz w:val="20"/>
        <w:szCs w:val="20"/>
      </w:rPr>
    </w:pPr>
  </w:p>
  <w:p w14:paraId="6604C899" w14:textId="6EE7B506" w:rsidR="00DC484D" w:rsidRPr="00E35D87" w:rsidRDefault="00C603CA" w:rsidP="00C603CA">
    <w:pPr>
      <w:pStyle w:val="Header"/>
      <w:ind w:leftChars="0" w:left="0" w:firstLineChars="0" w:firstLine="0"/>
    </w:pPr>
    <w:r w:rsidRPr="00C603CA">
      <w:rPr>
        <w:rFonts w:ascii="Tahoma" w:eastAsia="Tahoma" w:hAnsi="Tahoma" w:cs="Tahoma"/>
        <w:color w:val="000000"/>
        <w:sz w:val="20"/>
        <w:szCs w:val="20"/>
      </w:rPr>
      <w:t>Delina Hasan, Yardi, Rosa Amalia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2A07" w14:textId="4C43FAFA" w:rsidR="003E330C" w:rsidRPr="001253DC" w:rsidRDefault="001253DC" w:rsidP="001253DC">
    <w:pPr>
      <w:pStyle w:val="Header"/>
      <w:ind w:left="0" w:hanging="2"/>
      <w:jc w:val="right"/>
    </w:pPr>
    <w:r w:rsidRPr="001253DC">
      <w:rPr>
        <w:rFonts w:ascii="Candara" w:eastAsia="Tahoma" w:hAnsi="Candara" w:cs="Tahoma"/>
        <w:color w:val="000000"/>
        <w:sz w:val="20"/>
        <w:szCs w:val="20"/>
      </w:rPr>
      <w:t>Quantitative Study of Antibiotic Use in Urinary Tract Infection Patients at RSU X in East Jakarta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A4BD" w14:textId="609D648B" w:rsidR="003A2E1A" w:rsidRDefault="003A2E1A" w:rsidP="006947B4">
    <w:pPr>
      <w:pBdr>
        <w:top w:val="nil"/>
        <w:left w:val="nil"/>
        <w:bottom w:val="nil"/>
        <w:right w:val="nil"/>
        <w:between w:val="nil"/>
      </w:pBdr>
      <w:tabs>
        <w:tab w:val="center" w:pos="4680"/>
        <w:tab w:val="right" w:pos="9360"/>
      </w:tabs>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87E"/>
    <w:multiLevelType w:val="hybridMultilevel"/>
    <w:tmpl w:val="AED46E5A"/>
    <w:lvl w:ilvl="0" w:tplc="0820E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53218"/>
    <w:multiLevelType w:val="multilevel"/>
    <w:tmpl w:val="23FE2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866829"/>
    <w:multiLevelType w:val="multilevel"/>
    <w:tmpl w:val="9460B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6C280A"/>
    <w:multiLevelType w:val="multilevel"/>
    <w:tmpl w:val="A8181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F25202"/>
    <w:multiLevelType w:val="hybridMultilevel"/>
    <w:tmpl w:val="C03A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E6219"/>
    <w:multiLevelType w:val="hybridMultilevel"/>
    <w:tmpl w:val="AEEE86DC"/>
    <w:lvl w:ilvl="0" w:tplc="E3EA29C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16102920"/>
    <w:multiLevelType w:val="hybridMultilevel"/>
    <w:tmpl w:val="DE9C9A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FA070D1"/>
    <w:multiLevelType w:val="multilevel"/>
    <w:tmpl w:val="A2F88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3267BB"/>
    <w:multiLevelType w:val="multilevel"/>
    <w:tmpl w:val="636EE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37F6519"/>
    <w:multiLevelType w:val="hybridMultilevel"/>
    <w:tmpl w:val="77AC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160"/>
    <w:multiLevelType w:val="hybridMultilevel"/>
    <w:tmpl w:val="D5ACE2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DAD0258"/>
    <w:multiLevelType w:val="hybridMultilevel"/>
    <w:tmpl w:val="294247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586121C"/>
    <w:multiLevelType w:val="hybridMultilevel"/>
    <w:tmpl w:val="2A2A0ED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5947DA"/>
    <w:multiLevelType w:val="hybridMultilevel"/>
    <w:tmpl w:val="5456ED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B4921BA"/>
    <w:multiLevelType w:val="hybridMultilevel"/>
    <w:tmpl w:val="18D2AD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0094D84"/>
    <w:multiLevelType w:val="hybridMultilevel"/>
    <w:tmpl w:val="2FE863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155145D"/>
    <w:multiLevelType w:val="multilevel"/>
    <w:tmpl w:val="B986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8A5EAD"/>
    <w:multiLevelType w:val="multilevel"/>
    <w:tmpl w:val="D4241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963A02"/>
    <w:multiLevelType w:val="hybridMultilevel"/>
    <w:tmpl w:val="53DC6E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04B2052"/>
    <w:multiLevelType w:val="multilevel"/>
    <w:tmpl w:val="66EC0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850FC5"/>
    <w:multiLevelType w:val="multilevel"/>
    <w:tmpl w:val="329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9F7610"/>
    <w:multiLevelType w:val="hybridMultilevel"/>
    <w:tmpl w:val="17B0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766BA6"/>
    <w:multiLevelType w:val="multilevel"/>
    <w:tmpl w:val="0464EB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116C10"/>
    <w:multiLevelType w:val="hybridMultilevel"/>
    <w:tmpl w:val="C53C456C"/>
    <w:lvl w:ilvl="0" w:tplc="0416392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4" w15:restartNumberingAfterBreak="0">
    <w:nsid w:val="6EDB08D4"/>
    <w:multiLevelType w:val="hybridMultilevel"/>
    <w:tmpl w:val="B7F0FB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0BB7E3A"/>
    <w:multiLevelType w:val="hybridMultilevel"/>
    <w:tmpl w:val="92DC6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D672BAF"/>
    <w:multiLevelType w:val="hybridMultilevel"/>
    <w:tmpl w:val="36467A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DBA28BC"/>
    <w:multiLevelType w:val="hybridMultilevel"/>
    <w:tmpl w:val="E26E3512"/>
    <w:lvl w:ilvl="0" w:tplc="7C38D87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F3322F1"/>
    <w:multiLevelType w:val="multilevel"/>
    <w:tmpl w:val="40C05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1464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335320">
    <w:abstractNumId w:val="25"/>
  </w:num>
  <w:num w:numId="3" w16cid:durableId="880869423">
    <w:abstractNumId w:val="27"/>
  </w:num>
  <w:num w:numId="4" w16cid:durableId="22632073">
    <w:abstractNumId w:val="12"/>
  </w:num>
  <w:num w:numId="5" w16cid:durableId="482934987">
    <w:abstractNumId w:val="28"/>
  </w:num>
  <w:num w:numId="6" w16cid:durableId="1064640208">
    <w:abstractNumId w:val="21"/>
  </w:num>
  <w:num w:numId="7" w16cid:durableId="200362691">
    <w:abstractNumId w:val="5"/>
  </w:num>
  <w:num w:numId="8" w16cid:durableId="424807781">
    <w:abstractNumId w:val="0"/>
  </w:num>
  <w:num w:numId="9" w16cid:durableId="10685560">
    <w:abstractNumId w:val="23"/>
  </w:num>
  <w:num w:numId="10" w16cid:durableId="347605049">
    <w:abstractNumId w:val="2"/>
  </w:num>
  <w:num w:numId="11" w16cid:durableId="2098166158">
    <w:abstractNumId w:val="26"/>
  </w:num>
  <w:num w:numId="12" w16cid:durableId="443115349">
    <w:abstractNumId w:val="15"/>
  </w:num>
  <w:num w:numId="13" w16cid:durableId="1826431565">
    <w:abstractNumId w:val="6"/>
  </w:num>
  <w:num w:numId="14" w16cid:durableId="726955144">
    <w:abstractNumId w:val="18"/>
  </w:num>
  <w:num w:numId="15" w16cid:durableId="1513568040">
    <w:abstractNumId w:val="10"/>
  </w:num>
  <w:num w:numId="16" w16cid:durableId="706414489">
    <w:abstractNumId w:val="13"/>
  </w:num>
  <w:num w:numId="17" w16cid:durableId="728840644">
    <w:abstractNumId w:val="24"/>
  </w:num>
  <w:num w:numId="18" w16cid:durableId="1627194073">
    <w:abstractNumId w:val="11"/>
  </w:num>
  <w:num w:numId="19" w16cid:durableId="17435465">
    <w:abstractNumId w:val="14"/>
  </w:num>
  <w:num w:numId="20" w16cid:durableId="1837957455">
    <w:abstractNumId w:val="4"/>
  </w:num>
  <w:num w:numId="21" w16cid:durableId="1621255407">
    <w:abstractNumId w:val="9"/>
  </w:num>
  <w:num w:numId="22" w16cid:durableId="116608942">
    <w:abstractNumId w:val="17"/>
  </w:num>
  <w:num w:numId="23" w16cid:durableId="1774939429">
    <w:abstractNumId w:val="3"/>
  </w:num>
  <w:num w:numId="24" w16cid:durableId="420836137">
    <w:abstractNumId w:val="1"/>
  </w:num>
  <w:num w:numId="25" w16cid:durableId="1357921901">
    <w:abstractNumId w:val="8"/>
  </w:num>
  <w:num w:numId="26" w16cid:durableId="305863957">
    <w:abstractNumId w:val="20"/>
  </w:num>
  <w:num w:numId="27" w16cid:durableId="2040666780">
    <w:abstractNumId w:val="7"/>
  </w:num>
  <w:num w:numId="28" w16cid:durableId="1074472185">
    <w:abstractNumId w:val="16"/>
  </w:num>
  <w:num w:numId="29" w16cid:durableId="1875729385">
    <w:abstractNumId w:val="22"/>
  </w:num>
  <w:num w:numId="30" w16cid:durableId="1056660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1A"/>
    <w:rsid w:val="000147D8"/>
    <w:rsid w:val="00057A90"/>
    <w:rsid w:val="00070172"/>
    <w:rsid w:val="00076453"/>
    <w:rsid w:val="0011793F"/>
    <w:rsid w:val="001253DC"/>
    <w:rsid w:val="001804B7"/>
    <w:rsid w:val="00186C6B"/>
    <w:rsid w:val="00190D2D"/>
    <w:rsid w:val="001B44E8"/>
    <w:rsid w:val="001F22F4"/>
    <w:rsid w:val="00216474"/>
    <w:rsid w:val="0022007D"/>
    <w:rsid w:val="00220215"/>
    <w:rsid w:val="00226D26"/>
    <w:rsid w:val="0025567D"/>
    <w:rsid w:val="00265B12"/>
    <w:rsid w:val="00293E12"/>
    <w:rsid w:val="002964CC"/>
    <w:rsid w:val="002B1C0F"/>
    <w:rsid w:val="002E17E0"/>
    <w:rsid w:val="002E7DDB"/>
    <w:rsid w:val="00315170"/>
    <w:rsid w:val="00347558"/>
    <w:rsid w:val="00352452"/>
    <w:rsid w:val="00355316"/>
    <w:rsid w:val="003A0C6C"/>
    <w:rsid w:val="003A2E1A"/>
    <w:rsid w:val="003D55CC"/>
    <w:rsid w:val="003E330C"/>
    <w:rsid w:val="003F18EE"/>
    <w:rsid w:val="003F3570"/>
    <w:rsid w:val="003F3E31"/>
    <w:rsid w:val="0040727E"/>
    <w:rsid w:val="004166AC"/>
    <w:rsid w:val="00443C4B"/>
    <w:rsid w:val="00447AFD"/>
    <w:rsid w:val="004762E8"/>
    <w:rsid w:val="00483C38"/>
    <w:rsid w:val="004A0730"/>
    <w:rsid w:val="004B39CF"/>
    <w:rsid w:val="004D5BAF"/>
    <w:rsid w:val="00510B44"/>
    <w:rsid w:val="005233A0"/>
    <w:rsid w:val="00530436"/>
    <w:rsid w:val="00546336"/>
    <w:rsid w:val="00551D07"/>
    <w:rsid w:val="005901B2"/>
    <w:rsid w:val="00595CE9"/>
    <w:rsid w:val="005B5C0F"/>
    <w:rsid w:val="005C4A43"/>
    <w:rsid w:val="00606CA5"/>
    <w:rsid w:val="00612334"/>
    <w:rsid w:val="00613D1A"/>
    <w:rsid w:val="0061409A"/>
    <w:rsid w:val="00617B7A"/>
    <w:rsid w:val="00624B22"/>
    <w:rsid w:val="00637A7B"/>
    <w:rsid w:val="00645F79"/>
    <w:rsid w:val="00685444"/>
    <w:rsid w:val="006947B4"/>
    <w:rsid w:val="00713EE3"/>
    <w:rsid w:val="00715CAD"/>
    <w:rsid w:val="00726297"/>
    <w:rsid w:val="00780972"/>
    <w:rsid w:val="007A731A"/>
    <w:rsid w:val="007B76F7"/>
    <w:rsid w:val="007F0BCA"/>
    <w:rsid w:val="008027A5"/>
    <w:rsid w:val="00834D2E"/>
    <w:rsid w:val="00837357"/>
    <w:rsid w:val="008508C8"/>
    <w:rsid w:val="0088386A"/>
    <w:rsid w:val="00886A09"/>
    <w:rsid w:val="00897F8C"/>
    <w:rsid w:val="008A742D"/>
    <w:rsid w:val="008D0C6F"/>
    <w:rsid w:val="008E0EF4"/>
    <w:rsid w:val="008F1383"/>
    <w:rsid w:val="00900B7C"/>
    <w:rsid w:val="00940F57"/>
    <w:rsid w:val="0094659A"/>
    <w:rsid w:val="00953472"/>
    <w:rsid w:val="009549D0"/>
    <w:rsid w:val="00960649"/>
    <w:rsid w:val="00975DB5"/>
    <w:rsid w:val="00976B0B"/>
    <w:rsid w:val="009B0B26"/>
    <w:rsid w:val="009C3D9E"/>
    <w:rsid w:val="009D1093"/>
    <w:rsid w:val="009E4207"/>
    <w:rsid w:val="009F412B"/>
    <w:rsid w:val="009F5B64"/>
    <w:rsid w:val="009F792F"/>
    <w:rsid w:val="00A2384D"/>
    <w:rsid w:val="00A26230"/>
    <w:rsid w:val="00A6509E"/>
    <w:rsid w:val="00AA282B"/>
    <w:rsid w:val="00AC4410"/>
    <w:rsid w:val="00AE7E6D"/>
    <w:rsid w:val="00AF450B"/>
    <w:rsid w:val="00B26155"/>
    <w:rsid w:val="00B36C7F"/>
    <w:rsid w:val="00B46701"/>
    <w:rsid w:val="00B74194"/>
    <w:rsid w:val="00B85DFB"/>
    <w:rsid w:val="00BB316F"/>
    <w:rsid w:val="00BB37F3"/>
    <w:rsid w:val="00BC79EE"/>
    <w:rsid w:val="00BE7C68"/>
    <w:rsid w:val="00C04269"/>
    <w:rsid w:val="00C045A9"/>
    <w:rsid w:val="00C07F3E"/>
    <w:rsid w:val="00C17B1D"/>
    <w:rsid w:val="00C603CA"/>
    <w:rsid w:val="00C60CFB"/>
    <w:rsid w:val="00C63E4E"/>
    <w:rsid w:val="00C67B36"/>
    <w:rsid w:val="00CA1DDC"/>
    <w:rsid w:val="00CB1C59"/>
    <w:rsid w:val="00CB35B2"/>
    <w:rsid w:val="00CC64BC"/>
    <w:rsid w:val="00CD041C"/>
    <w:rsid w:val="00CD6FF6"/>
    <w:rsid w:val="00D15412"/>
    <w:rsid w:val="00D16590"/>
    <w:rsid w:val="00D2038F"/>
    <w:rsid w:val="00D341CF"/>
    <w:rsid w:val="00D50257"/>
    <w:rsid w:val="00D5411F"/>
    <w:rsid w:val="00D55EB6"/>
    <w:rsid w:val="00D8299F"/>
    <w:rsid w:val="00D85E69"/>
    <w:rsid w:val="00DC484D"/>
    <w:rsid w:val="00DF1492"/>
    <w:rsid w:val="00E0244F"/>
    <w:rsid w:val="00E14BF0"/>
    <w:rsid w:val="00E232E2"/>
    <w:rsid w:val="00E316BC"/>
    <w:rsid w:val="00E3566F"/>
    <w:rsid w:val="00E35D87"/>
    <w:rsid w:val="00E4246C"/>
    <w:rsid w:val="00E6275E"/>
    <w:rsid w:val="00E66CD3"/>
    <w:rsid w:val="00E733F8"/>
    <w:rsid w:val="00E86058"/>
    <w:rsid w:val="00F24CA4"/>
    <w:rsid w:val="00F3569D"/>
    <w:rsid w:val="00F627DD"/>
    <w:rsid w:val="00F937CF"/>
    <w:rsid w:val="00FB1630"/>
    <w:rsid w:val="00FB6083"/>
    <w:rsid w:val="00FE7F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57D4"/>
  <w15:docId w15:val="{CEC10A35-1D18-0344-8057-A9B1F980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uiPriority w:val="9"/>
    <w:qFormat/>
    <w:pPr>
      <w:keepNext/>
      <w:suppressAutoHyphens/>
      <w:jc w:val="both"/>
    </w:pPr>
    <w:rPr>
      <w:b/>
      <w:szCs w:val="20"/>
      <w:lang w:eastAsia="en-US"/>
    </w:rPr>
  </w:style>
  <w:style w:type="paragraph" w:styleId="Heading2">
    <w:name w:val="heading 2"/>
    <w:basedOn w:val="Normal"/>
    <w:next w:val="Normal"/>
    <w:uiPriority w:val="9"/>
    <w:semiHidden/>
    <w:unhideWhenUsed/>
    <w:qFormat/>
    <w:pPr>
      <w:keepNext/>
      <w:keepLines/>
      <w:suppressAutoHyphens/>
      <w:spacing w:before="200"/>
      <w:jc w:val="both"/>
      <w:outlineLvl w:val="1"/>
    </w:pPr>
    <w:rPr>
      <w:rFonts w:ascii="Cambria" w:hAnsi="Cambria"/>
      <w:b/>
      <w:bCs/>
      <w:color w:val="4F81BD"/>
      <w:sz w:val="26"/>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jc w:val="center"/>
    </w:pPr>
    <w:rPr>
      <w:rFonts w:ascii="Arial" w:eastAsia="MS Mincho" w:hAnsi="Arial"/>
      <w:b/>
      <w:szCs w:val="20"/>
    </w:rPr>
  </w:style>
  <w:style w:type="character" w:styleId="HTMLCite">
    <w:name w:val="HTML Cite"/>
    <w:rPr>
      <w:i/>
      <w:iCs/>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uiPriority w:val="1"/>
    <w:qFormat/>
    <w:pPr>
      <w:spacing w:after="120"/>
    </w:pPr>
  </w:style>
  <w:style w:type="paragraph" w:styleId="List">
    <w:name w:val="List"/>
    <w:basedOn w:val="BodyText"/>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Paragraf ISI,Heading 2 Char1,Char Char,List Paragraph1,Heading 1 Char1,1.2 Dst...,UGEX'Z,1.2,PARAGRAPH,Colorful List - Accent 11,Body Text Char1,Char Char2,list nomor,Sub C,Bagian Isi Tanpa Subjudul,skripsi,Heading 41,Graphic"/>
    <w:basedOn w:val="Normal"/>
    <w:link w:val="ListParagraphChar"/>
    <w:uiPriority w:val="34"/>
    <w:qFormat/>
    <w:pPr>
      <w:ind w:left="720"/>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eastAsia="MS Mincho" w:hAnsi="Tahoma" w:cs="Tahoma"/>
      <w:sz w:val="16"/>
      <w:szCs w:val="16"/>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lang w:eastAsia="ar-SA"/>
    </w:rPr>
  </w:style>
  <w:style w:type="character" w:styleId="PageNumber">
    <w:name w:val="page number"/>
    <w:basedOn w:val="DefaultParagraphFont"/>
    <w:rPr>
      <w:w w:val="100"/>
      <w:position w:val="-1"/>
      <w:effect w:val="none"/>
      <w:vertAlign w:val="baseline"/>
      <w:cs w:val="0"/>
      <w:em w:val="none"/>
    </w:rPr>
  </w:style>
  <w:style w:type="character" w:styleId="LineNumber">
    <w:name w:val="line number"/>
    <w:basedOn w:val="DefaultParagraphFont"/>
    <w:rPr>
      <w:w w:val="100"/>
      <w:position w:val="-1"/>
      <w:effect w:val="none"/>
      <w:vertAlign w:val="baseline"/>
      <w:cs w:val="0"/>
      <w:em w:val="none"/>
    </w:rPr>
  </w:style>
  <w:style w:type="paragraph" w:styleId="Subtitle">
    <w:name w:val="Subtitle"/>
    <w:basedOn w:val="Normal"/>
    <w:uiPriority w:val="11"/>
    <w:qFormat/>
    <w:pPr>
      <w:spacing w:after="60"/>
      <w:jc w:val="center"/>
    </w:pPr>
    <w:rPr>
      <w:rFonts w:ascii="Arial" w:eastAsia="Arial" w:hAnsi="Arial" w:cs="Arial"/>
    </w:rPr>
  </w:style>
  <w:style w:type="paragraph" w:styleId="FootnoteText">
    <w:name w:val="footnote text"/>
    <w:basedOn w:val="Normal"/>
    <w:pPr>
      <w:suppressAutoHyphens/>
    </w:pPr>
    <w:rPr>
      <w:sz w:val="20"/>
      <w:szCs w:val="20"/>
      <w:lang w:eastAsia="en-US"/>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59"/>
    <w:pPr>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style>
  <w:style w:type="character" w:customStyle="1" w:styleId="CharChar5">
    <w:name w:val="Char Char5"/>
    <w:rPr>
      <w:rFonts w:ascii="Times New Roman" w:eastAsia="Times New Roman" w:hAnsi="Times New Roman" w:cs="Times New Roman"/>
      <w:b/>
      <w:w w:val="100"/>
      <w:position w:val="-1"/>
      <w:sz w:val="24"/>
      <w:szCs w:val="20"/>
      <w:effect w:val="none"/>
      <w:vertAlign w:val="baseline"/>
      <w:cs w:val="0"/>
      <w:em w:val="none"/>
    </w:rPr>
  </w:style>
  <w:style w:type="character" w:customStyle="1" w:styleId="CharChar4">
    <w:name w:val="Char Char4"/>
    <w:rPr>
      <w:rFonts w:ascii="Cambria" w:eastAsia="Times New Roman" w:hAnsi="Cambria" w:cs="Times New Roman"/>
      <w:b/>
      <w:bCs/>
      <w:color w:val="4F81BD"/>
      <w:w w:val="100"/>
      <w:position w:val="-1"/>
      <w:sz w:val="26"/>
      <w:szCs w:val="26"/>
      <w:effect w:val="none"/>
      <w:vertAlign w:val="baseline"/>
      <w:cs w:val="0"/>
      <w:em w:val="none"/>
    </w:rPr>
  </w:style>
  <w:style w:type="paragraph" w:styleId="NoSpacing">
    <w:name w:val="No Spacing"/>
    <w:uiPriority w:val="1"/>
    <w:qFormat/>
    <w:pPr>
      <w:suppressAutoHyphens/>
      <w:spacing w:line="1" w:lineRule="atLeast"/>
      <w:ind w:leftChars="-1" w:left="-1" w:hangingChars="1" w:hanging="1"/>
      <w:jc w:val="both"/>
      <w:textDirection w:val="btLr"/>
      <w:textAlignment w:val="top"/>
      <w:outlineLvl w:val="0"/>
    </w:pPr>
    <w:rPr>
      <w:rFonts w:ascii="Calibri" w:eastAsia="Calibri" w:hAnsi="Calibri"/>
      <w:position w:val="-1"/>
      <w:sz w:val="22"/>
      <w:szCs w:val="22"/>
    </w:rPr>
  </w:style>
  <w:style w:type="character" w:styleId="FollowedHyperlink">
    <w:name w:val="FollowedHyperlink"/>
    <w:rPr>
      <w:color w:val="800080"/>
      <w:w w:val="100"/>
      <w:position w:val="-1"/>
      <w:u w:val="single"/>
      <w:effect w:val="none"/>
      <w:vertAlign w:val="baseline"/>
      <w:cs w:val="0"/>
      <w:em w:val="none"/>
    </w:rPr>
  </w:style>
  <w:style w:type="character" w:customStyle="1" w:styleId="CharChar6">
    <w:name w:val="Char Char6"/>
    <w:rPr>
      <w:w w:val="100"/>
      <w:position w:val="-1"/>
      <w:sz w:val="22"/>
      <w:szCs w:val="22"/>
      <w:effect w:val="none"/>
      <w:vertAlign w:val="baseline"/>
      <w:cs w:val="0"/>
      <w:em w:val="none"/>
    </w:rPr>
  </w:style>
  <w:style w:type="paragraph" w:customStyle="1" w:styleId="Title-article">
    <w:name w:val="Title-article"/>
    <w:basedOn w:val="Normal"/>
    <w:next w:val="Normal"/>
    <w:pPr>
      <w:spacing w:after="480"/>
      <w:jc w:val="center"/>
    </w:pPr>
    <w:rPr>
      <w:b/>
      <w:bCs/>
      <w:sz w:val="28"/>
      <w:szCs w:val="28"/>
    </w:rPr>
  </w:style>
  <w:style w:type="paragraph" w:customStyle="1" w:styleId="Afiliation">
    <w:name w:val="Afiliation"/>
    <w:basedOn w:val="Normal"/>
    <w:pPr>
      <w:jc w:val="center"/>
    </w:pPr>
    <w:rPr>
      <w:i/>
      <w:iCs/>
    </w:rPr>
  </w:style>
  <w:style w:type="paragraph" w:customStyle="1" w:styleId="author">
    <w:name w:val="author"/>
    <w:basedOn w:val="Normal"/>
    <w:pPr>
      <w:jc w:val="center"/>
    </w:pPr>
    <w:rPr>
      <w:b/>
      <w:bCs/>
      <w:i/>
      <w:iCs/>
    </w:rPr>
  </w:style>
  <w:style w:type="character" w:styleId="Strong">
    <w:name w:val="Strong"/>
    <w:rPr>
      <w:b/>
      <w:bCs/>
      <w:w w:val="100"/>
      <w:position w:val="-1"/>
      <w:effect w:val="none"/>
      <w:vertAlign w:val="baseline"/>
      <w:cs w:val="0"/>
      <w:em w:val="none"/>
    </w:rPr>
  </w:style>
  <w:style w:type="paragraph" w:customStyle="1" w:styleId="Abstract">
    <w:name w:val="Abstract"/>
    <w:basedOn w:val="Normal"/>
    <w:next w:val="Normal"/>
    <w:pPr>
      <w:suppressAutoHyphens/>
      <w:autoSpaceDE w:val="0"/>
      <w:autoSpaceDN w:val="0"/>
      <w:spacing w:before="20"/>
      <w:ind w:firstLine="202"/>
      <w:jc w:val="both"/>
    </w:pPr>
    <w:rPr>
      <w:b/>
      <w:bCs/>
      <w:sz w:val="18"/>
      <w:szCs w:val="18"/>
      <w:lang w:eastAsia="en-US"/>
    </w:rPr>
  </w:style>
  <w:style w:type="paragraph" w:customStyle="1" w:styleId="Text">
    <w:name w:val="Text"/>
    <w:basedOn w:val="Normal"/>
    <w:pPr>
      <w:widowControl w:val="0"/>
      <w:suppressAutoHyphens/>
      <w:autoSpaceDE w:val="0"/>
      <w:autoSpaceDN w:val="0"/>
      <w:spacing w:line="252" w:lineRule="auto"/>
      <w:ind w:firstLine="202"/>
      <w:jc w:val="both"/>
    </w:pPr>
    <w:rPr>
      <w:sz w:val="20"/>
      <w:szCs w:val="20"/>
      <w:lang w:eastAsia="en-US"/>
    </w:rPr>
  </w:style>
  <w:style w:type="paragraph" w:styleId="BodyTextFirstIndent">
    <w:name w:val="Body Text First Indent"/>
    <w:basedOn w:val="BodyText"/>
    <w:qFormat/>
    <w:pPr>
      <w:ind w:firstLine="210"/>
    </w:pPr>
  </w:style>
  <w:style w:type="character" w:customStyle="1" w:styleId="BodyTextChar">
    <w:name w:val="Body Text Char"/>
    <w:rPr>
      <w:w w:val="100"/>
      <w:position w:val="-1"/>
      <w:sz w:val="24"/>
      <w:szCs w:val="24"/>
      <w:effect w:val="none"/>
      <w:vertAlign w:val="baseline"/>
      <w:cs w:val="0"/>
      <w:em w:val="none"/>
      <w:lang w:val="en-US" w:eastAsia="ar-SA"/>
    </w:rPr>
  </w:style>
  <w:style w:type="character" w:customStyle="1" w:styleId="BodyTextFirstIndentChar">
    <w:name w:val="Body Text First Indent Char"/>
    <w:basedOn w:val="BodyTextChar"/>
    <w:rPr>
      <w:w w:val="100"/>
      <w:position w:val="-1"/>
      <w:sz w:val="24"/>
      <w:szCs w:val="24"/>
      <w:effect w:val="none"/>
      <w:vertAlign w:val="baseline"/>
      <w:cs w:val="0"/>
      <w:em w:val="none"/>
      <w:lang w:val="en-US" w:eastAsia="ar-SA"/>
    </w:rPr>
  </w:style>
  <w:style w:type="paragraph" w:customStyle="1" w:styleId="Els-caption">
    <w:name w:val="Els-caption"/>
    <w:pPr>
      <w:keepLines/>
      <w:suppressAutoHyphens/>
      <w:spacing w:before="200" w:after="240" w:line="200" w:lineRule="atLeast"/>
      <w:ind w:leftChars="-1" w:left="-1" w:hangingChars="1" w:hanging="1"/>
      <w:textDirection w:val="btLr"/>
      <w:textAlignment w:val="top"/>
      <w:outlineLvl w:val="0"/>
    </w:pPr>
    <w:rPr>
      <w:position w:val="-1"/>
      <w:sz w:val="16"/>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ar-S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ar-SA"/>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D50257"/>
    <w:pPr>
      <w:spacing w:before="100" w:beforeAutospacing="1" w:after="100" w:afterAutospacing="1" w:line="240" w:lineRule="auto"/>
      <w:ind w:leftChars="0" w:left="0" w:firstLineChars="0" w:firstLine="0"/>
      <w:textDirection w:val="lrTb"/>
      <w:textAlignment w:val="auto"/>
      <w:outlineLvl w:val="9"/>
    </w:pPr>
    <w:rPr>
      <w:position w:val="0"/>
      <w:lang w:val="en-ID" w:eastAsia="en-US"/>
    </w:rPr>
  </w:style>
  <w:style w:type="character" w:customStyle="1" w:styleId="apple-tab-span">
    <w:name w:val="apple-tab-span"/>
    <w:basedOn w:val="DefaultParagraphFont"/>
    <w:rsid w:val="00940F57"/>
  </w:style>
  <w:style w:type="table" w:customStyle="1" w:styleId="PlainTable21">
    <w:name w:val="Plain Table 21"/>
    <w:basedOn w:val="TableNormal"/>
    <w:uiPriority w:val="42"/>
    <w:rsid w:val="00E86058"/>
    <w:rPr>
      <w:rFonts w:asciiTheme="minorHAnsi" w:eastAsiaTheme="minorHAnsi" w:hAnsiTheme="minorHAnsi" w:cstheme="minorBidi"/>
      <w:sz w:val="22"/>
      <w:szCs w:val="22"/>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Paragraf ISI Char,Heading 2 Char1 Char,Char Char Char,List Paragraph1 Char,Heading 1 Char1 Char,1.2 Dst... Char,UGEX'Z Char,1.2 Char,PARAGRAPH Char,Colorful List - Accent 11 Char,Body Text Char1 Char,Char Char2 Char"/>
    <w:basedOn w:val="DefaultParagraphFont"/>
    <w:link w:val="ListParagraph"/>
    <w:uiPriority w:val="34"/>
    <w:qFormat/>
    <w:locked/>
    <w:rsid w:val="00E86058"/>
    <w:rPr>
      <w:position w:val="-1"/>
      <w:lang w:eastAsia="ar-SA"/>
    </w:rPr>
  </w:style>
  <w:style w:type="character" w:customStyle="1" w:styleId="markedcontent">
    <w:name w:val="markedcontent"/>
    <w:basedOn w:val="DefaultParagraphFont"/>
    <w:rsid w:val="009B0B26"/>
  </w:style>
  <w:style w:type="table" w:styleId="PlainTable2">
    <w:name w:val="Plain Table 2"/>
    <w:basedOn w:val="TableNormal"/>
    <w:uiPriority w:val="42"/>
    <w:rsid w:val="00D8299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8299F"/>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12334"/>
    <w:rPr>
      <w:color w:val="808080"/>
    </w:rPr>
  </w:style>
  <w:style w:type="paragraph" w:styleId="Bibliography">
    <w:name w:val="Bibliography"/>
    <w:basedOn w:val="Normal"/>
    <w:next w:val="Normal"/>
    <w:uiPriority w:val="37"/>
    <w:unhideWhenUsed/>
    <w:rsid w:val="00216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283">
      <w:bodyDiv w:val="1"/>
      <w:marLeft w:val="0"/>
      <w:marRight w:val="0"/>
      <w:marTop w:val="0"/>
      <w:marBottom w:val="0"/>
      <w:divBdr>
        <w:top w:val="none" w:sz="0" w:space="0" w:color="auto"/>
        <w:left w:val="none" w:sz="0" w:space="0" w:color="auto"/>
        <w:bottom w:val="none" w:sz="0" w:space="0" w:color="auto"/>
        <w:right w:val="none" w:sz="0" w:space="0" w:color="auto"/>
      </w:divBdr>
    </w:div>
    <w:div w:id="74786265">
      <w:bodyDiv w:val="1"/>
      <w:marLeft w:val="0"/>
      <w:marRight w:val="0"/>
      <w:marTop w:val="0"/>
      <w:marBottom w:val="0"/>
      <w:divBdr>
        <w:top w:val="none" w:sz="0" w:space="0" w:color="auto"/>
        <w:left w:val="none" w:sz="0" w:space="0" w:color="auto"/>
        <w:bottom w:val="none" w:sz="0" w:space="0" w:color="auto"/>
        <w:right w:val="none" w:sz="0" w:space="0" w:color="auto"/>
      </w:divBdr>
    </w:div>
    <w:div w:id="78449317">
      <w:bodyDiv w:val="1"/>
      <w:marLeft w:val="0"/>
      <w:marRight w:val="0"/>
      <w:marTop w:val="0"/>
      <w:marBottom w:val="0"/>
      <w:divBdr>
        <w:top w:val="none" w:sz="0" w:space="0" w:color="auto"/>
        <w:left w:val="none" w:sz="0" w:space="0" w:color="auto"/>
        <w:bottom w:val="none" w:sz="0" w:space="0" w:color="auto"/>
        <w:right w:val="none" w:sz="0" w:space="0" w:color="auto"/>
      </w:divBdr>
    </w:div>
    <w:div w:id="105514112">
      <w:bodyDiv w:val="1"/>
      <w:marLeft w:val="0"/>
      <w:marRight w:val="0"/>
      <w:marTop w:val="0"/>
      <w:marBottom w:val="0"/>
      <w:divBdr>
        <w:top w:val="none" w:sz="0" w:space="0" w:color="auto"/>
        <w:left w:val="none" w:sz="0" w:space="0" w:color="auto"/>
        <w:bottom w:val="none" w:sz="0" w:space="0" w:color="auto"/>
        <w:right w:val="none" w:sz="0" w:space="0" w:color="auto"/>
      </w:divBdr>
      <w:divsChild>
        <w:div w:id="1304040353">
          <w:marLeft w:val="-115"/>
          <w:marRight w:val="0"/>
          <w:marTop w:val="0"/>
          <w:marBottom w:val="0"/>
          <w:divBdr>
            <w:top w:val="none" w:sz="0" w:space="0" w:color="auto"/>
            <w:left w:val="none" w:sz="0" w:space="0" w:color="auto"/>
            <w:bottom w:val="none" w:sz="0" w:space="0" w:color="auto"/>
            <w:right w:val="none" w:sz="0" w:space="0" w:color="auto"/>
          </w:divBdr>
        </w:div>
      </w:divsChild>
    </w:div>
    <w:div w:id="123085267">
      <w:bodyDiv w:val="1"/>
      <w:marLeft w:val="0"/>
      <w:marRight w:val="0"/>
      <w:marTop w:val="0"/>
      <w:marBottom w:val="0"/>
      <w:divBdr>
        <w:top w:val="none" w:sz="0" w:space="0" w:color="auto"/>
        <w:left w:val="none" w:sz="0" w:space="0" w:color="auto"/>
        <w:bottom w:val="none" w:sz="0" w:space="0" w:color="auto"/>
        <w:right w:val="none" w:sz="0" w:space="0" w:color="auto"/>
      </w:divBdr>
    </w:div>
    <w:div w:id="123694523">
      <w:bodyDiv w:val="1"/>
      <w:marLeft w:val="0"/>
      <w:marRight w:val="0"/>
      <w:marTop w:val="0"/>
      <w:marBottom w:val="0"/>
      <w:divBdr>
        <w:top w:val="none" w:sz="0" w:space="0" w:color="auto"/>
        <w:left w:val="none" w:sz="0" w:space="0" w:color="auto"/>
        <w:bottom w:val="none" w:sz="0" w:space="0" w:color="auto"/>
        <w:right w:val="none" w:sz="0" w:space="0" w:color="auto"/>
      </w:divBdr>
    </w:div>
    <w:div w:id="132914726">
      <w:bodyDiv w:val="1"/>
      <w:marLeft w:val="0"/>
      <w:marRight w:val="0"/>
      <w:marTop w:val="0"/>
      <w:marBottom w:val="0"/>
      <w:divBdr>
        <w:top w:val="none" w:sz="0" w:space="0" w:color="auto"/>
        <w:left w:val="none" w:sz="0" w:space="0" w:color="auto"/>
        <w:bottom w:val="none" w:sz="0" w:space="0" w:color="auto"/>
        <w:right w:val="none" w:sz="0" w:space="0" w:color="auto"/>
      </w:divBdr>
      <w:divsChild>
        <w:div w:id="1481115101">
          <w:marLeft w:val="0"/>
          <w:marRight w:val="0"/>
          <w:marTop w:val="0"/>
          <w:marBottom w:val="0"/>
          <w:divBdr>
            <w:top w:val="none" w:sz="0" w:space="0" w:color="auto"/>
            <w:left w:val="none" w:sz="0" w:space="0" w:color="auto"/>
            <w:bottom w:val="none" w:sz="0" w:space="0" w:color="auto"/>
            <w:right w:val="none" w:sz="0" w:space="0" w:color="auto"/>
          </w:divBdr>
          <w:divsChild>
            <w:div w:id="971788346">
              <w:marLeft w:val="0"/>
              <w:marRight w:val="0"/>
              <w:marTop w:val="0"/>
              <w:marBottom w:val="0"/>
              <w:divBdr>
                <w:top w:val="none" w:sz="0" w:space="0" w:color="auto"/>
                <w:left w:val="none" w:sz="0" w:space="0" w:color="auto"/>
                <w:bottom w:val="none" w:sz="0" w:space="0" w:color="auto"/>
                <w:right w:val="none" w:sz="0" w:space="0" w:color="auto"/>
              </w:divBdr>
              <w:divsChild>
                <w:div w:id="1738430542">
                  <w:marLeft w:val="0"/>
                  <w:marRight w:val="0"/>
                  <w:marTop w:val="0"/>
                  <w:marBottom w:val="0"/>
                  <w:divBdr>
                    <w:top w:val="none" w:sz="0" w:space="0" w:color="auto"/>
                    <w:left w:val="none" w:sz="0" w:space="0" w:color="auto"/>
                    <w:bottom w:val="none" w:sz="0" w:space="0" w:color="auto"/>
                    <w:right w:val="none" w:sz="0" w:space="0" w:color="auto"/>
                  </w:divBdr>
                  <w:divsChild>
                    <w:div w:id="274676583">
                      <w:marLeft w:val="0"/>
                      <w:marRight w:val="0"/>
                      <w:marTop w:val="0"/>
                      <w:marBottom w:val="0"/>
                      <w:divBdr>
                        <w:top w:val="none" w:sz="0" w:space="0" w:color="auto"/>
                        <w:left w:val="none" w:sz="0" w:space="0" w:color="auto"/>
                        <w:bottom w:val="none" w:sz="0" w:space="0" w:color="auto"/>
                        <w:right w:val="none" w:sz="0" w:space="0" w:color="auto"/>
                      </w:divBdr>
                      <w:divsChild>
                        <w:div w:id="1356076911">
                          <w:marLeft w:val="0"/>
                          <w:marRight w:val="0"/>
                          <w:marTop w:val="0"/>
                          <w:marBottom w:val="0"/>
                          <w:divBdr>
                            <w:top w:val="none" w:sz="0" w:space="0" w:color="auto"/>
                            <w:left w:val="none" w:sz="0" w:space="0" w:color="auto"/>
                            <w:bottom w:val="none" w:sz="0" w:space="0" w:color="auto"/>
                            <w:right w:val="none" w:sz="0" w:space="0" w:color="auto"/>
                          </w:divBdr>
                          <w:divsChild>
                            <w:div w:id="1823421175">
                              <w:marLeft w:val="0"/>
                              <w:marRight w:val="0"/>
                              <w:marTop w:val="0"/>
                              <w:marBottom w:val="0"/>
                              <w:divBdr>
                                <w:top w:val="none" w:sz="0" w:space="0" w:color="auto"/>
                                <w:left w:val="none" w:sz="0" w:space="0" w:color="auto"/>
                                <w:bottom w:val="none" w:sz="0" w:space="0" w:color="auto"/>
                                <w:right w:val="none" w:sz="0" w:space="0" w:color="auto"/>
                              </w:divBdr>
                              <w:divsChild>
                                <w:div w:id="484204760">
                                  <w:marLeft w:val="0"/>
                                  <w:marRight w:val="0"/>
                                  <w:marTop w:val="0"/>
                                  <w:marBottom w:val="0"/>
                                  <w:divBdr>
                                    <w:top w:val="none" w:sz="0" w:space="0" w:color="auto"/>
                                    <w:left w:val="none" w:sz="0" w:space="0" w:color="auto"/>
                                    <w:bottom w:val="none" w:sz="0" w:space="0" w:color="auto"/>
                                    <w:right w:val="none" w:sz="0" w:space="0" w:color="auto"/>
                                  </w:divBdr>
                                  <w:divsChild>
                                    <w:div w:id="579557133">
                                      <w:marLeft w:val="0"/>
                                      <w:marRight w:val="0"/>
                                      <w:marTop w:val="0"/>
                                      <w:marBottom w:val="0"/>
                                      <w:divBdr>
                                        <w:top w:val="none" w:sz="0" w:space="0" w:color="auto"/>
                                        <w:left w:val="none" w:sz="0" w:space="0" w:color="auto"/>
                                        <w:bottom w:val="none" w:sz="0" w:space="0" w:color="auto"/>
                                        <w:right w:val="none" w:sz="0" w:space="0" w:color="auto"/>
                                      </w:divBdr>
                                      <w:divsChild>
                                        <w:div w:id="825390459">
                                          <w:marLeft w:val="0"/>
                                          <w:marRight w:val="0"/>
                                          <w:marTop w:val="0"/>
                                          <w:marBottom w:val="0"/>
                                          <w:divBdr>
                                            <w:top w:val="none" w:sz="0" w:space="0" w:color="auto"/>
                                            <w:left w:val="none" w:sz="0" w:space="0" w:color="auto"/>
                                            <w:bottom w:val="none" w:sz="0" w:space="0" w:color="auto"/>
                                            <w:right w:val="none" w:sz="0" w:space="0" w:color="auto"/>
                                          </w:divBdr>
                                          <w:divsChild>
                                            <w:div w:id="669065553">
                                              <w:marLeft w:val="0"/>
                                              <w:marRight w:val="0"/>
                                              <w:marTop w:val="0"/>
                                              <w:marBottom w:val="0"/>
                                              <w:divBdr>
                                                <w:top w:val="none" w:sz="0" w:space="0" w:color="auto"/>
                                                <w:left w:val="none" w:sz="0" w:space="0" w:color="auto"/>
                                                <w:bottom w:val="none" w:sz="0" w:space="0" w:color="auto"/>
                                                <w:right w:val="none" w:sz="0" w:space="0" w:color="auto"/>
                                              </w:divBdr>
                                              <w:divsChild>
                                                <w:div w:id="112139367">
                                                  <w:marLeft w:val="0"/>
                                                  <w:marRight w:val="0"/>
                                                  <w:marTop w:val="0"/>
                                                  <w:marBottom w:val="0"/>
                                                  <w:divBdr>
                                                    <w:top w:val="none" w:sz="0" w:space="0" w:color="auto"/>
                                                    <w:left w:val="none" w:sz="0" w:space="0" w:color="auto"/>
                                                    <w:bottom w:val="none" w:sz="0" w:space="0" w:color="auto"/>
                                                    <w:right w:val="none" w:sz="0" w:space="0" w:color="auto"/>
                                                  </w:divBdr>
                                                  <w:divsChild>
                                                    <w:div w:id="1734503482">
                                                      <w:marLeft w:val="0"/>
                                                      <w:marRight w:val="0"/>
                                                      <w:marTop w:val="0"/>
                                                      <w:marBottom w:val="0"/>
                                                      <w:divBdr>
                                                        <w:top w:val="none" w:sz="0" w:space="0" w:color="auto"/>
                                                        <w:left w:val="none" w:sz="0" w:space="0" w:color="auto"/>
                                                        <w:bottom w:val="none" w:sz="0" w:space="0" w:color="auto"/>
                                                        <w:right w:val="none" w:sz="0" w:space="0" w:color="auto"/>
                                                      </w:divBdr>
                                                      <w:divsChild>
                                                        <w:div w:id="1496451455">
                                                          <w:marLeft w:val="0"/>
                                                          <w:marRight w:val="0"/>
                                                          <w:marTop w:val="0"/>
                                                          <w:marBottom w:val="0"/>
                                                          <w:divBdr>
                                                            <w:top w:val="none" w:sz="0" w:space="0" w:color="auto"/>
                                                            <w:left w:val="none" w:sz="0" w:space="0" w:color="auto"/>
                                                            <w:bottom w:val="none" w:sz="0" w:space="0" w:color="auto"/>
                                                            <w:right w:val="none" w:sz="0" w:space="0" w:color="auto"/>
                                                          </w:divBdr>
                                                          <w:divsChild>
                                                            <w:div w:id="13239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67770">
      <w:bodyDiv w:val="1"/>
      <w:marLeft w:val="0"/>
      <w:marRight w:val="0"/>
      <w:marTop w:val="0"/>
      <w:marBottom w:val="0"/>
      <w:divBdr>
        <w:top w:val="none" w:sz="0" w:space="0" w:color="auto"/>
        <w:left w:val="none" w:sz="0" w:space="0" w:color="auto"/>
        <w:bottom w:val="none" w:sz="0" w:space="0" w:color="auto"/>
        <w:right w:val="none" w:sz="0" w:space="0" w:color="auto"/>
      </w:divBdr>
    </w:div>
    <w:div w:id="171995165">
      <w:bodyDiv w:val="1"/>
      <w:marLeft w:val="0"/>
      <w:marRight w:val="0"/>
      <w:marTop w:val="0"/>
      <w:marBottom w:val="0"/>
      <w:divBdr>
        <w:top w:val="none" w:sz="0" w:space="0" w:color="auto"/>
        <w:left w:val="none" w:sz="0" w:space="0" w:color="auto"/>
        <w:bottom w:val="none" w:sz="0" w:space="0" w:color="auto"/>
        <w:right w:val="none" w:sz="0" w:space="0" w:color="auto"/>
      </w:divBdr>
    </w:div>
    <w:div w:id="184637959">
      <w:bodyDiv w:val="1"/>
      <w:marLeft w:val="0"/>
      <w:marRight w:val="0"/>
      <w:marTop w:val="0"/>
      <w:marBottom w:val="0"/>
      <w:divBdr>
        <w:top w:val="none" w:sz="0" w:space="0" w:color="auto"/>
        <w:left w:val="none" w:sz="0" w:space="0" w:color="auto"/>
        <w:bottom w:val="none" w:sz="0" w:space="0" w:color="auto"/>
        <w:right w:val="none" w:sz="0" w:space="0" w:color="auto"/>
      </w:divBdr>
    </w:div>
    <w:div w:id="201790731">
      <w:bodyDiv w:val="1"/>
      <w:marLeft w:val="0"/>
      <w:marRight w:val="0"/>
      <w:marTop w:val="0"/>
      <w:marBottom w:val="0"/>
      <w:divBdr>
        <w:top w:val="none" w:sz="0" w:space="0" w:color="auto"/>
        <w:left w:val="none" w:sz="0" w:space="0" w:color="auto"/>
        <w:bottom w:val="none" w:sz="0" w:space="0" w:color="auto"/>
        <w:right w:val="none" w:sz="0" w:space="0" w:color="auto"/>
      </w:divBdr>
    </w:div>
    <w:div w:id="202326752">
      <w:bodyDiv w:val="1"/>
      <w:marLeft w:val="0"/>
      <w:marRight w:val="0"/>
      <w:marTop w:val="0"/>
      <w:marBottom w:val="0"/>
      <w:divBdr>
        <w:top w:val="none" w:sz="0" w:space="0" w:color="auto"/>
        <w:left w:val="none" w:sz="0" w:space="0" w:color="auto"/>
        <w:bottom w:val="none" w:sz="0" w:space="0" w:color="auto"/>
        <w:right w:val="none" w:sz="0" w:space="0" w:color="auto"/>
      </w:divBdr>
    </w:div>
    <w:div w:id="215436938">
      <w:bodyDiv w:val="1"/>
      <w:marLeft w:val="0"/>
      <w:marRight w:val="0"/>
      <w:marTop w:val="0"/>
      <w:marBottom w:val="0"/>
      <w:divBdr>
        <w:top w:val="none" w:sz="0" w:space="0" w:color="auto"/>
        <w:left w:val="none" w:sz="0" w:space="0" w:color="auto"/>
        <w:bottom w:val="none" w:sz="0" w:space="0" w:color="auto"/>
        <w:right w:val="none" w:sz="0" w:space="0" w:color="auto"/>
      </w:divBdr>
    </w:div>
    <w:div w:id="227500645">
      <w:bodyDiv w:val="1"/>
      <w:marLeft w:val="0"/>
      <w:marRight w:val="0"/>
      <w:marTop w:val="0"/>
      <w:marBottom w:val="0"/>
      <w:divBdr>
        <w:top w:val="none" w:sz="0" w:space="0" w:color="auto"/>
        <w:left w:val="none" w:sz="0" w:space="0" w:color="auto"/>
        <w:bottom w:val="none" w:sz="0" w:space="0" w:color="auto"/>
        <w:right w:val="none" w:sz="0" w:space="0" w:color="auto"/>
      </w:divBdr>
    </w:div>
    <w:div w:id="240868456">
      <w:bodyDiv w:val="1"/>
      <w:marLeft w:val="0"/>
      <w:marRight w:val="0"/>
      <w:marTop w:val="0"/>
      <w:marBottom w:val="0"/>
      <w:divBdr>
        <w:top w:val="none" w:sz="0" w:space="0" w:color="auto"/>
        <w:left w:val="none" w:sz="0" w:space="0" w:color="auto"/>
        <w:bottom w:val="none" w:sz="0" w:space="0" w:color="auto"/>
        <w:right w:val="none" w:sz="0" w:space="0" w:color="auto"/>
      </w:divBdr>
    </w:div>
    <w:div w:id="277571355">
      <w:bodyDiv w:val="1"/>
      <w:marLeft w:val="0"/>
      <w:marRight w:val="0"/>
      <w:marTop w:val="0"/>
      <w:marBottom w:val="0"/>
      <w:divBdr>
        <w:top w:val="none" w:sz="0" w:space="0" w:color="auto"/>
        <w:left w:val="none" w:sz="0" w:space="0" w:color="auto"/>
        <w:bottom w:val="none" w:sz="0" w:space="0" w:color="auto"/>
        <w:right w:val="none" w:sz="0" w:space="0" w:color="auto"/>
      </w:divBdr>
    </w:div>
    <w:div w:id="302321102">
      <w:bodyDiv w:val="1"/>
      <w:marLeft w:val="0"/>
      <w:marRight w:val="0"/>
      <w:marTop w:val="0"/>
      <w:marBottom w:val="0"/>
      <w:divBdr>
        <w:top w:val="none" w:sz="0" w:space="0" w:color="auto"/>
        <w:left w:val="none" w:sz="0" w:space="0" w:color="auto"/>
        <w:bottom w:val="none" w:sz="0" w:space="0" w:color="auto"/>
        <w:right w:val="none" w:sz="0" w:space="0" w:color="auto"/>
      </w:divBdr>
    </w:div>
    <w:div w:id="360057611">
      <w:bodyDiv w:val="1"/>
      <w:marLeft w:val="0"/>
      <w:marRight w:val="0"/>
      <w:marTop w:val="0"/>
      <w:marBottom w:val="0"/>
      <w:divBdr>
        <w:top w:val="none" w:sz="0" w:space="0" w:color="auto"/>
        <w:left w:val="none" w:sz="0" w:space="0" w:color="auto"/>
        <w:bottom w:val="none" w:sz="0" w:space="0" w:color="auto"/>
        <w:right w:val="none" w:sz="0" w:space="0" w:color="auto"/>
      </w:divBdr>
    </w:div>
    <w:div w:id="374353845">
      <w:bodyDiv w:val="1"/>
      <w:marLeft w:val="0"/>
      <w:marRight w:val="0"/>
      <w:marTop w:val="0"/>
      <w:marBottom w:val="0"/>
      <w:divBdr>
        <w:top w:val="none" w:sz="0" w:space="0" w:color="auto"/>
        <w:left w:val="none" w:sz="0" w:space="0" w:color="auto"/>
        <w:bottom w:val="none" w:sz="0" w:space="0" w:color="auto"/>
        <w:right w:val="none" w:sz="0" w:space="0" w:color="auto"/>
      </w:divBdr>
    </w:div>
    <w:div w:id="413674789">
      <w:bodyDiv w:val="1"/>
      <w:marLeft w:val="0"/>
      <w:marRight w:val="0"/>
      <w:marTop w:val="0"/>
      <w:marBottom w:val="0"/>
      <w:divBdr>
        <w:top w:val="none" w:sz="0" w:space="0" w:color="auto"/>
        <w:left w:val="none" w:sz="0" w:space="0" w:color="auto"/>
        <w:bottom w:val="none" w:sz="0" w:space="0" w:color="auto"/>
        <w:right w:val="none" w:sz="0" w:space="0" w:color="auto"/>
      </w:divBdr>
    </w:div>
    <w:div w:id="458569387">
      <w:bodyDiv w:val="1"/>
      <w:marLeft w:val="0"/>
      <w:marRight w:val="0"/>
      <w:marTop w:val="0"/>
      <w:marBottom w:val="0"/>
      <w:divBdr>
        <w:top w:val="none" w:sz="0" w:space="0" w:color="auto"/>
        <w:left w:val="none" w:sz="0" w:space="0" w:color="auto"/>
        <w:bottom w:val="none" w:sz="0" w:space="0" w:color="auto"/>
        <w:right w:val="none" w:sz="0" w:space="0" w:color="auto"/>
      </w:divBdr>
    </w:div>
    <w:div w:id="466246311">
      <w:bodyDiv w:val="1"/>
      <w:marLeft w:val="0"/>
      <w:marRight w:val="0"/>
      <w:marTop w:val="0"/>
      <w:marBottom w:val="0"/>
      <w:divBdr>
        <w:top w:val="none" w:sz="0" w:space="0" w:color="auto"/>
        <w:left w:val="none" w:sz="0" w:space="0" w:color="auto"/>
        <w:bottom w:val="none" w:sz="0" w:space="0" w:color="auto"/>
        <w:right w:val="none" w:sz="0" w:space="0" w:color="auto"/>
      </w:divBdr>
    </w:div>
    <w:div w:id="493841133">
      <w:bodyDiv w:val="1"/>
      <w:marLeft w:val="0"/>
      <w:marRight w:val="0"/>
      <w:marTop w:val="0"/>
      <w:marBottom w:val="0"/>
      <w:divBdr>
        <w:top w:val="none" w:sz="0" w:space="0" w:color="auto"/>
        <w:left w:val="none" w:sz="0" w:space="0" w:color="auto"/>
        <w:bottom w:val="none" w:sz="0" w:space="0" w:color="auto"/>
        <w:right w:val="none" w:sz="0" w:space="0" w:color="auto"/>
      </w:divBdr>
    </w:div>
    <w:div w:id="526871256">
      <w:bodyDiv w:val="1"/>
      <w:marLeft w:val="0"/>
      <w:marRight w:val="0"/>
      <w:marTop w:val="0"/>
      <w:marBottom w:val="0"/>
      <w:divBdr>
        <w:top w:val="none" w:sz="0" w:space="0" w:color="auto"/>
        <w:left w:val="none" w:sz="0" w:space="0" w:color="auto"/>
        <w:bottom w:val="none" w:sz="0" w:space="0" w:color="auto"/>
        <w:right w:val="none" w:sz="0" w:space="0" w:color="auto"/>
      </w:divBdr>
    </w:div>
    <w:div w:id="532350879">
      <w:bodyDiv w:val="1"/>
      <w:marLeft w:val="0"/>
      <w:marRight w:val="0"/>
      <w:marTop w:val="0"/>
      <w:marBottom w:val="0"/>
      <w:divBdr>
        <w:top w:val="none" w:sz="0" w:space="0" w:color="auto"/>
        <w:left w:val="none" w:sz="0" w:space="0" w:color="auto"/>
        <w:bottom w:val="none" w:sz="0" w:space="0" w:color="auto"/>
        <w:right w:val="none" w:sz="0" w:space="0" w:color="auto"/>
      </w:divBdr>
    </w:div>
    <w:div w:id="584875555">
      <w:bodyDiv w:val="1"/>
      <w:marLeft w:val="0"/>
      <w:marRight w:val="0"/>
      <w:marTop w:val="0"/>
      <w:marBottom w:val="0"/>
      <w:divBdr>
        <w:top w:val="none" w:sz="0" w:space="0" w:color="auto"/>
        <w:left w:val="none" w:sz="0" w:space="0" w:color="auto"/>
        <w:bottom w:val="none" w:sz="0" w:space="0" w:color="auto"/>
        <w:right w:val="none" w:sz="0" w:space="0" w:color="auto"/>
      </w:divBdr>
    </w:div>
    <w:div w:id="644242965">
      <w:bodyDiv w:val="1"/>
      <w:marLeft w:val="0"/>
      <w:marRight w:val="0"/>
      <w:marTop w:val="0"/>
      <w:marBottom w:val="0"/>
      <w:divBdr>
        <w:top w:val="none" w:sz="0" w:space="0" w:color="auto"/>
        <w:left w:val="none" w:sz="0" w:space="0" w:color="auto"/>
        <w:bottom w:val="none" w:sz="0" w:space="0" w:color="auto"/>
        <w:right w:val="none" w:sz="0" w:space="0" w:color="auto"/>
      </w:divBdr>
    </w:div>
    <w:div w:id="678628977">
      <w:bodyDiv w:val="1"/>
      <w:marLeft w:val="0"/>
      <w:marRight w:val="0"/>
      <w:marTop w:val="0"/>
      <w:marBottom w:val="0"/>
      <w:divBdr>
        <w:top w:val="none" w:sz="0" w:space="0" w:color="auto"/>
        <w:left w:val="none" w:sz="0" w:space="0" w:color="auto"/>
        <w:bottom w:val="none" w:sz="0" w:space="0" w:color="auto"/>
        <w:right w:val="none" w:sz="0" w:space="0" w:color="auto"/>
      </w:divBdr>
    </w:div>
    <w:div w:id="715160990">
      <w:bodyDiv w:val="1"/>
      <w:marLeft w:val="0"/>
      <w:marRight w:val="0"/>
      <w:marTop w:val="0"/>
      <w:marBottom w:val="0"/>
      <w:divBdr>
        <w:top w:val="none" w:sz="0" w:space="0" w:color="auto"/>
        <w:left w:val="none" w:sz="0" w:space="0" w:color="auto"/>
        <w:bottom w:val="none" w:sz="0" w:space="0" w:color="auto"/>
        <w:right w:val="none" w:sz="0" w:space="0" w:color="auto"/>
      </w:divBdr>
    </w:div>
    <w:div w:id="735201556">
      <w:bodyDiv w:val="1"/>
      <w:marLeft w:val="0"/>
      <w:marRight w:val="0"/>
      <w:marTop w:val="0"/>
      <w:marBottom w:val="0"/>
      <w:divBdr>
        <w:top w:val="none" w:sz="0" w:space="0" w:color="auto"/>
        <w:left w:val="none" w:sz="0" w:space="0" w:color="auto"/>
        <w:bottom w:val="none" w:sz="0" w:space="0" w:color="auto"/>
        <w:right w:val="none" w:sz="0" w:space="0" w:color="auto"/>
      </w:divBdr>
    </w:div>
    <w:div w:id="823203659">
      <w:bodyDiv w:val="1"/>
      <w:marLeft w:val="0"/>
      <w:marRight w:val="0"/>
      <w:marTop w:val="0"/>
      <w:marBottom w:val="0"/>
      <w:divBdr>
        <w:top w:val="none" w:sz="0" w:space="0" w:color="auto"/>
        <w:left w:val="none" w:sz="0" w:space="0" w:color="auto"/>
        <w:bottom w:val="none" w:sz="0" w:space="0" w:color="auto"/>
        <w:right w:val="none" w:sz="0" w:space="0" w:color="auto"/>
      </w:divBdr>
    </w:div>
    <w:div w:id="841117898">
      <w:bodyDiv w:val="1"/>
      <w:marLeft w:val="0"/>
      <w:marRight w:val="0"/>
      <w:marTop w:val="0"/>
      <w:marBottom w:val="0"/>
      <w:divBdr>
        <w:top w:val="none" w:sz="0" w:space="0" w:color="auto"/>
        <w:left w:val="none" w:sz="0" w:space="0" w:color="auto"/>
        <w:bottom w:val="none" w:sz="0" w:space="0" w:color="auto"/>
        <w:right w:val="none" w:sz="0" w:space="0" w:color="auto"/>
      </w:divBdr>
    </w:div>
    <w:div w:id="888029330">
      <w:bodyDiv w:val="1"/>
      <w:marLeft w:val="0"/>
      <w:marRight w:val="0"/>
      <w:marTop w:val="0"/>
      <w:marBottom w:val="0"/>
      <w:divBdr>
        <w:top w:val="none" w:sz="0" w:space="0" w:color="auto"/>
        <w:left w:val="none" w:sz="0" w:space="0" w:color="auto"/>
        <w:bottom w:val="none" w:sz="0" w:space="0" w:color="auto"/>
        <w:right w:val="none" w:sz="0" w:space="0" w:color="auto"/>
      </w:divBdr>
    </w:div>
    <w:div w:id="928152836">
      <w:bodyDiv w:val="1"/>
      <w:marLeft w:val="0"/>
      <w:marRight w:val="0"/>
      <w:marTop w:val="0"/>
      <w:marBottom w:val="0"/>
      <w:divBdr>
        <w:top w:val="none" w:sz="0" w:space="0" w:color="auto"/>
        <w:left w:val="none" w:sz="0" w:space="0" w:color="auto"/>
        <w:bottom w:val="none" w:sz="0" w:space="0" w:color="auto"/>
        <w:right w:val="none" w:sz="0" w:space="0" w:color="auto"/>
      </w:divBdr>
    </w:div>
    <w:div w:id="961884816">
      <w:bodyDiv w:val="1"/>
      <w:marLeft w:val="0"/>
      <w:marRight w:val="0"/>
      <w:marTop w:val="0"/>
      <w:marBottom w:val="0"/>
      <w:divBdr>
        <w:top w:val="none" w:sz="0" w:space="0" w:color="auto"/>
        <w:left w:val="none" w:sz="0" w:space="0" w:color="auto"/>
        <w:bottom w:val="none" w:sz="0" w:space="0" w:color="auto"/>
        <w:right w:val="none" w:sz="0" w:space="0" w:color="auto"/>
      </w:divBdr>
    </w:div>
    <w:div w:id="965819983">
      <w:bodyDiv w:val="1"/>
      <w:marLeft w:val="0"/>
      <w:marRight w:val="0"/>
      <w:marTop w:val="0"/>
      <w:marBottom w:val="0"/>
      <w:divBdr>
        <w:top w:val="none" w:sz="0" w:space="0" w:color="auto"/>
        <w:left w:val="none" w:sz="0" w:space="0" w:color="auto"/>
        <w:bottom w:val="none" w:sz="0" w:space="0" w:color="auto"/>
        <w:right w:val="none" w:sz="0" w:space="0" w:color="auto"/>
      </w:divBdr>
    </w:div>
    <w:div w:id="997726147">
      <w:bodyDiv w:val="1"/>
      <w:marLeft w:val="0"/>
      <w:marRight w:val="0"/>
      <w:marTop w:val="0"/>
      <w:marBottom w:val="0"/>
      <w:divBdr>
        <w:top w:val="none" w:sz="0" w:space="0" w:color="auto"/>
        <w:left w:val="none" w:sz="0" w:space="0" w:color="auto"/>
        <w:bottom w:val="none" w:sz="0" w:space="0" w:color="auto"/>
        <w:right w:val="none" w:sz="0" w:space="0" w:color="auto"/>
      </w:divBdr>
    </w:div>
    <w:div w:id="1016929682">
      <w:bodyDiv w:val="1"/>
      <w:marLeft w:val="0"/>
      <w:marRight w:val="0"/>
      <w:marTop w:val="0"/>
      <w:marBottom w:val="0"/>
      <w:divBdr>
        <w:top w:val="none" w:sz="0" w:space="0" w:color="auto"/>
        <w:left w:val="none" w:sz="0" w:space="0" w:color="auto"/>
        <w:bottom w:val="none" w:sz="0" w:space="0" w:color="auto"/>
        <w:right w:val="none" w:sz="0" w:space="0" w:color="auto"/>
      </w:divBdr>
    </w:div>
    <w:div w:id="1031422218">
      <w:bodyDiv w:val="1"/>
      <w:marLeft w:val="0"/>
      <w:marRight w:val="0"/>
      <w:marTop w:val="0"/>
      <w:marBottom w:val="0"/>
      <w:divBdr>
        <w:top w:val="none" w:sz="0" w:space="0" w:color="auto"/>
        <w:left w:val="none" w:sz="0" w:space="0" w:color="auto"/>
        <w:bottom w:val="none" w:sz="0" w:space="0" w:color="auto"/>
        <w:right w:val="none" w:sz="0" w:space="0" w:color="auto"/>
      </w:divBdr>
    </w:div>
    <w:div w:id="1039279197">
      <w:bodyDiv w:val="1"/>
      <w:marLeft w:val="0"/>
      <w:marRight w:val="0"/>
      <w:marTop w:val="0"/>
      <w:marBottom w:val="0"/>
      <w:divBdr>
        <w:top w:val="none" w:sz="0" w:space="0" w:color="auto"/>
        <w:left w:val="none" w:sz="0" w:space="0" w:color="auto"/>
        <w:bottom w:val="none" w:sz="0" w:space="0" w:color="auto"/>
        <w:right w:val="none" w:sz="0" w:space="0" w:color="auto"/>
      </w:divBdr>
    </w:div>
    <w:div w:id="1049260853">
      <w:bodyDiv w:val="1"/>
      <w:marLeft w:val="0"/>
      <w:marRight w:val="0"/>
      <w:marTop w:val="0"/>
      <w:marBottom w:val="0"/>
      <w:divBdr>
        <w:top w:val="none" w:sz="0" w:space="0" w:color="auto"/>
        <w:left w:val="none" w:sz="0" w:space="0" w:color="auto"/>
        <w:bottom w:val="none" w:sz="0" w:space="0" w:color="auto"/>
        <w:right w:val="none" w:sz="0" w:space="0" w:color="auto"/>
      </w:divBdr>
    </w:div>
    <w:div w:id="1061096907">
      <w:bodyDiv w:val="1"/>
      <w:marLeft w:val="0"/>
      <w:marRight w:val="0"/>
      <w:marTop w:val="0"/>
      <w:marBottom w:val="0"/>
      <w:divBdr>
        <w:top w:val="none" w:sz="0" w:space="0" w:color="auto"/>
        <w:left w:val="none" w:sz="0" w:space="0" w:color="auto"/>
        <w:bottom w:val="none" w:sz="0" w:space="0" w:color="auto"/>
        <w:right w:val="none" w:sz="0" w:space="0" w:color="auto"/>
      </w:divBdr>
    </w:div>
    <w:div w:id="1082068784">
      <w:bodyDiv w:val="1"/>
      <w:marLeft w:val="0"/>
      <w:marRight w:val="0"/>
      <w:marTop w:val="0"/>
      <w:marBottom w:val="0"/>
      <w:divBdr>
        <w:top w:val="none" w:sz="0" w:space="0" w:color="auto"/>
        <w:left w:val="none" w:sz="0" w:space="0" w:color="auto"/>
        <w:bottom w:val="none" w:sz="0" w:space="0" w:color="auto"/>
        <w:right w:val="none" w:sz="0" w:space="0" w:color="auto"/>
      </w:divBdr>
    </w:div>
    <w:div w:id="1098133528">
      <w:bodyDiv w:val="1"/>
      <w:marLeft w:val="0"/>
      <w:marRight w:val="0"/>
      <w:marTop w:val="0"/>
      <w:marBottom w:val="0"/>
      <w:divBdr>
        <w:top w:val="none" w:sz="0" w:space="0" w:color="auto"/>
        <w:left w:val="none" w:sz="0" w:space="0" w:color="auto"/>
        <w:bottom w:val="none" w:sz="0" w:space="0" w:color="auto"/>
        <w:right w:val="none" w:sz="0" w:space="0" w:color="auto"/>
      </w:divBdr>
    </w:div>
    <w:div w:id="1151140861">
      <w:bodyDiv w:val="1"/>
      <w:marLeft w:val="0"/>
      <w:marRight w:val="0"/>
      <w:marTop w:val="0"/>
      <w:marBottom w:val="0"/>
      <w:divBdr>
        <w:top w:val="none" w:sz="0" w:space="0" w:color="auto"/>
        <w:left w:val="none" w:sz="0" w:space="0" w:color="auto"/>
        <w:bottom w:val="none" w:sz="0" w:space="0" w:color="auto"/>
        <w:right w:val="none" w:sz="0" w:space="0" w:color="auto"/>
      </w:divBdr>
    </w:div>
    <w:div w:id="1151169017">
      <w:bodyDiv w:val="1"/>
      <w:marLeft w:val="0"/>
      <w:marRight w:val="0"/>
      <w:marTop w:val="0"/>
      <w:marBottom w:val="0"/>
      <w:divBdr>
        <w:top w:val="none" w:sz="0" w:space="0" w:color="auto"/>
        <w:left w:val="none" w:sz="0" w:space="0" w:color="auto"/>
        <w:bottom w:val="none" w:sz="0" w:space="0" w:color="auto"/>
        <w:right w:val="none" w:sz="0" w:space="0" w:color="auto"/>
      </w:divBdr>
    </w:div>
    <w:div w:id="1152871339">
      <w:bodyDiv w:val="1"/>
      <w:marLeft w:val="0"/>
      <w:marRight w:val="0"/>
      <w:marTop w:val="0"/>
      <w:marBottom w:val="0"/>
      <w:divBdr>
        <w:top w:val="none" w:sz="0" w:space="0" w:color="auto"/>
        <w:left w:val="none" w:sz="0" w:space="0" w:color="auto"/>
        <w:bottom w:val="none" w:sz="0" w:space="0" w:color="auto"/>
        <w:right w:val="none" w:sz="0" w:space="0" w:color="auto"/>
      </w:divBdr>
    </w:div>
    <w:div w:id="1218664326">
      <w:bodyDiv w:val="1"/>
      <w:marLeft w:val="0"/>
      <w:marRight w:val="0"/>
      <w:marTop w:val="0"/>
      <w:marBottom w:val="0"/>
      <w:divBdr>
        <w:top w:val="none" w:sz="0" w:space="0" w:color="auto"/>
        <w:left w:val="none" w:sz="0" w:space="0" w:color="auto"/>
        <w:bottom w:val="none" w:sz="0" w:space="0" w:color="auto"/>
        <w:right w:val="none" w:sz="0" w:space="0" w:color="auto"/>
      </w:divBdr>
    </w:div>
    <w:div w:id="1247232664">
      <w:bodyDiv w:val="1"/>
      <w:marLeft w:val="0"/>
      <w:marRight w:val="0"/>
      <w:marTop w:val="0"/>
      <w:marBottom w:val="0"/>
      <w:divBdr>
        <w:top w:val="none" w:sz="0" w:space="0" w:color="auto"/>
        <w:left w:val="none" w:sz="0" w:space="0" w:color="auto"/>
        <w:bottom w:val="none" w:sz="0" w:space="0" w:color="auto"/>
        <w:right w:val="none" w:sz="0" w:space="0" w:color="auto"/>
      </w:divBdr>
    </w:div>
    <w:div w:id="1254584967">
      <w:bodyDiv w:val="1"/>
      <w:marLeft w:val="0"/>
      <w:marRight w:val="0"/>
      <w:marTop w:val="0"/>
      <w:marBottom w:val="0"/>
      <w:divBdr>
        <w:top w:val="none" w:sz="0" w:space="0" w:color="auto"/>
        <w:left w:val="none" w:sz="0" w:space="0" w:color="auto"/>
        <w:bottom w:val="none" w:sz="0" w:space="0" w:color="auto"/>
        <w:right w:val="none" w:sz="0" w:space="0" w:color="auto"/>
      </w:divBdr>
    </w:div>
    <w:div w:id="1317803272">
      <w:bodyDiv w:val="1"/>
      <w:marLeft w:val="0"/>
      <w:marRight w:val="0"/>
      <w:marTop w:val="0"/>
      <w:marBottom w:val="0"/>
      <w:divBdr>
        <w:top w:val="none" w:sz="0" w:space="0" w:color="auto"/>
        <w:left w:val="none" w:sz="0" w:space="0" w:color="auto"/>
        <w:bottom w:val="none" w:sz="0" w:space="0" w:color="auto"/>
        <w:right w:val="none" w:sz="0" w:space="0" w:color="auto"/>
      </w:divBdr>
    </w:div>
    <w:div w:id="1432313465">
      <w:bodyDiv w:val="1"/>
      <w:marLeft w:val="0"/>
      <w:marRight w:val="0"/>
      <w:marTop w:val="0"/>
      <w:marBottom w:val="0"/>
      <w:divBdr>
        <w:top w:val="none" w:sz="0" w:space="0" w:color="auto"/>
        <w:left w:val="none" w:sz="0" w:space="0" w:color="auto"/>
        <w:bottom w:val="none" w:sz="0" w:space="0" w:color="auto"/>
        <w:right w:val="none" w:sz="0" w:space="0" w:color="auto"/>
      </w:divBdr>
    </w:div>
    <w:div w:id="1494446019">
      <w:bodyDiv w:val="1"/>
      <w:marLeft w:val="0"/>
      <w:marRight w:val="0"/>
      <w:marTop w:val="0"/>
      <w:marBottom w:val="0"/>
      <w:divBdr>
        <w:top w:val="none" w:sz="0" w:space="0" w:color="auto"/>
        <w:left w:val="none" w:sz="0" w:space="0" w:color="auto"/>
        <w:bottom w:val="none" w:sz="0" w:space="0" w:color="auto"/>
        <w:right w:val="none" w:sz="0" w:space="0" w:color="auto"/>
      </w:divBdr>
    </w:div>
    <w:div w:id="1530142058">
      <w:bodyDiv w:val="1"/>
      <w:marLeft w:val="0"/>
      <w:marRight w:val="0"/>
      <w:marTop w:val="0"/>
      <w:marBottom w:val="0"/>
      <w:divBdr>
        <w:top w:val="none" w:sz="0" w:space="0" w:color="auto"/>
        <w:left w:val="none" w:sz="0" w:space="0" w:color="auto"/>
        <w:bottom w:val="none" w:sz="0" w:space="0" w:color="auto"/>
        <w:right w:val="none" w:sz="0" w:space="0" w:color="auto"/>
      </w:divBdr>
    </w:div>
    <w:div w:id="1594624340">
      <w:bodyDiv w:val="1"/>
      <w:marLeft w:val="0"/>
      <w:marRight w:val="0"/>
      <w:marTop w:val="0"/>
      <w:marBottom w:val="0"/>
      <w:divBdr>
        <w:top w:val="none" w:sz="0" w:space="0" w:color="auto"/>
        <w:left w:val="none" w:sz="0" w:space="0" w:color="auto"/>
        <w:bottom w:val="none" w:sz="0" w:space="0" w:color="auto"/>
        <w:right w:val="none" w:sz="0" w:space="0" w:color="auto"/>
      </w:divBdr>
    </w:div>
    <w:div w:id="1620725367">
      <w:bodyDiv w:val="1"/>
      <w:marLeft w:val="0"/>
      <w:marRight w:val="0"/>
      <w:marTop w:val="0"/>
      <w:marBottom w:val="0"/>
      <w:divBdr>
        <w:top w:val="none" w:sz="0" w:space="0" w:color="auto"/>
        <w:left w:val="none" w:sz="0" w:space="0" w:color="auto"/>
        <w:bottom w:val="none" w:sz="0" w:space="0" w:color="auto"/>
        <w:right w:val="none" w:sz="0" w:space="0" w:color="auto"/>
      </w:divBdr>
    </w:div>
    <w:div w:id="1627202126">
      <w:bodyDiv w:val="1"/>
      <w:marLeft w:val="0"/>
      <w:marRight w:val="0"/>
      <w:marTop w:val="0"/>
      <w:marBottom w:val="0"/>
      <w:divBdr>
        <w:top w:val="none" w:sz="0" w:space="0" w:color="auto"/>
        <w:left w:val="none" w:sz="0" w:space="0" w:color="auto"/>
        <w:bottom w:val="none" w:sz="0" w:space="0" w:color="auto"/>
        <w:right w:val="none" w:sz="0" w:space="0" w:color="auto"/>
      </w:divBdr>
    </w:div>
    <w:div w:id="1631281790">
      <w:bodyDiv w:val="1"/>
      <w:marLeft w:val="0"/>
      <w:marRight w:val="0"/>
      <w:marTop w:val="0"/>
      <w:marBottom w:val="0"/>
      <w:divBdr>
        <w:top w:val="none" w:sz="0" w:space="0" w:color="auto"/>
        <w:left w:val="none" w:sz="0" w:space="0" w:color="auto"/>
        <w:bottom w:val="none" w:sz="0" w:space="0" w:color="auto"/>
        <w:right w:val="none" w:sz="0" w:space="0" w:color="auto"/>
      </w:divBdr>
    </w:div>
    <w:div w:id="1641692618">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700618211">
      <w:bodyDiv w:val="1"/>
      <w:marLeft w:val="0"/>
      <w:marRight w:val="0"/>
      <w:marTop w:val="0"/>
      <w:marBottom w:val="0"/>
      <w:divBdr>
        <w:top w:val="none" w:sz="0" w:space="0" w:color="auto"/>
        <w:left w:val="none" w:sz="0" w:space="0" w:color="auto"/>
        <w:bottom w:val="none" w:sz="0" w:space="0" w:color="auto"/>
        <w:right w:val="none" w:sz="0" w:space="0" w:color="auto"/>
      </w:divBdr>
    </w:div>
    <w:div w:id="1702238991">
      <w:bodyDiv w:val="1"/>
      <w:marLeft w:val="0"/>
      <w:marRight w:val="0"/>
      <w:marTop w:val="0"/>
      <w:marBottom w:val="0"/>
      <w:divBdr>
        <w:top w:val="none" w:sz="0" w:space="0" w:color="auto"/>
        <w:left w:val="none" w:sz="0" w:space="0" w:color="auto"/>
        <w:bottom w:val="none" w:sz="0" w:space="0" w:color="auto"/>
        <w:right w:val="none" w:sz="0" w:space="0" w:color="auto"/>
      </w:divBdr>
    </w:div>
    <w:div w:id="1734768228">
      <w:bodyDiv w:val="1"/>
      <w:marLeft w:val="0"/>
      <w:marRight w:val="0"/>
      <w:marTop w:val="0"/>
      <w:marBottom w:val="0"/>
      <w:divBdr>
        <w:top w:val="none" w:sz="0" w:space="0" w:color="auto"/>
        <w:left w:val="none" w:sz="0" w:space="0" w:color="auto"/>
        <w:bottom w:val="none" w:sz="0" w:space="0" w:color="auto"/>
        <w:right w:val="none" w:sz="0" w:space="0" w:color="auto"/>
      </w:divBdr>
    </w:div>
    <w:div w:id="1802116902">
      <w:bodyDiv w:val="1"/>
      <w:marLeft w:val="0"/>
      <w:marRight w:val="0"/>
      <w:marTop w:val="0"/>
      <w:marBottom w:val="0"/>
      <w:divBdr>
        <w:top w:val="none" w:sz="0" w:space="0" w:color="auto"/>
        <w:left w:val="none" w:sz="0" w:space="0" w:color="auto"/>
        <w:bottom w:val="none" w:sz="0" w:space="0" w:color="auto"/>
        <w:right w:val="none" w:sz="0" w:space="0" w:color="auto"/>
      </w:divBdr>
    </w:div>
    <w:div w:id="1842235754">
      <w:bodyDiv w:val="1"/>
      <w:marLeft w:val="0"/>
      <w:marRight w:val="0"/>
      <w:marTop w:val="0"/>
      <w:marBottom w:val="0"/>
      <w:divBdr>
        <w:top w:val="none" w:sz="0" w:space="0" w:color="auto"/>
        <w:left w:val="none" w:sz="0" w:space="0" w:color="auto"/>
        <w:bottom w:val="none" w:sz="0" w:space="0" w:color="auto"/>
        <w:right w:val="none" w:sz="0" w:space="0" w:color="auto"/>
      </w:divBdr>
    </w:div>
    <w:div w:id="1844856296">
      <w:bodyDiv w:val="1"/>
      <w:marLeft w:val="0"/>
      <w:marRight w:val="0"/>
      <w:marTop w:val="0"/>
      <w:marBottom w:val="0"/>
      <w:divBdr>
        <w:top w:val="none" w:sz="0" w:space="0" w:color="auto"/>
        <w:left w:val="none" w:sz="0" w:space="0" w:color="auto"/>
        <w:bottom w:val="none" w:sz="0" w:space="0" w:color="auto"/>
        <w:right w:val="none" w:sz="0" w:space="0" w:color="auto"/>
      </w:divBdr>
    </w:div>
    <w:div w:id="1900050872">
      <w:bodyDiv w:val="1"/>
      <w:marLeft w:val="0"/>
      <w:marRight w:val="0"/>
      <w:marTop w:val="0"/>
      <w:marBottom w:val="0"/>
      <w:divBdr>
        <w:top w:val="none" w:sz="0" w:space="0" w:color="auto"/>
        <w:left w:val="none" w:sz="0" w:space="0" w:color="auto"/>
        <w:bottom w:val="none" w:sz="0" w:space="0" w:color="auto"/>
        <w:right w:val="none" w:sz="0" w:space="0" w:color="auto"/>
      </w:divBdr>
    </w:div>
    <w:div w:id="1906984704">
      <w:bodyDiv w:val="1"/>
      <w:marLeft w:val="0"/>
      <w:marRight w:val="0"/>
      <w:marTop w:val="0"/>
      <w:marBottom w:val="0"/>
      <w:divBdr>
        <w:top w:val="none" w:sz="0" w:space="0" w:color="auto"/>
        <w:left w:val="none" w:sz="0" w:space="0" w:color="auto"/>
        <w:bottom w:val="none" w:sz="0" w:space="0" w:color="auto"/>
        <w:right w:val="none" w:sz="0" w:space="0" w:color="auto"/>
      </w:divBdr>
    </w:div>
    <w:div w:id="1914312232">
      <w:bodyDiv w:val="1"/>
      <w:marLeft w:val="0"/>
      <w:marRight w:val="0"/>
      <w:marTop w:val="0"/>
      <w:marBottom w:val="0"/>
      <w:divBdr>
        <w:top w:val="none" w:sz="0" w:space="0" w:color="auto"/>
        <w:left w:val="none" w:sz="0" w:space="0" w:color="auto"/>
        <w:bottom w:val="none" w:sz="0" w:space="0" w:color="auto"/>
        <w:right w:val="none" w:sz="0" w:space="0" w:color="auto"/>
      </w:divBdr>
    </w:div>
    <w:div w:id="2018579869">
      <w:bodyDiv w:val="1"/>
      <w:marLeft w:val="0"/>
      <w:marRight w:val="0"/>
      <w:marTop w:val="0"/>
      <w:marBottom w:val="0"/>
      <w:divBdr>
        <w:top w:val="none" w:sz="0" w:space="0" w:color="auto"/>
        <w:left w:val="none" w:sz="0" w:space="0" w:color="auto"/>
        <w:bottom w:val="none" w:sz="0" w:space="0" w:color="auto"/>
        <w:right w:val="none" w:sz="0" w:space="0" w:color="auto"/>
      </w:divBdr>
      <w:divsChild>
        <w:div w:id="926767190">
          <w:marLeft w:val="-115"/>
          <w:marRight w:val="0"/>
          <w:marTop w:val="0"/>
          <w:marBottom w:val="0"/>
          <w:divBdr>
            <w:top w:val="none" w:sz="0" w:space="0" w:color="auto"/>
            <w:left w:val="none" w:sz="0" w:space="0" w:color="auto"/>
            <w:bottom w:val="none" w:sz="0" w:space="0" w:color="auto"/>
            <w:right w:val="none" w:sz="0" w:space="0" w:color="auto"/>
          </w:divBdr>
        </w:div>
      </w:divsChild>
    </w:div>
    <w:div w:id="2106874096">
      <w:bodyDiv w:val="1"/>
      <w:marLeft w:val="0"/>
      <w:marRight w:val="0"/>
      <w:marTop w:val="0"/>
      <w:marBottom w:val="0"/>
      <w:divBdr>
        <w:top w:val="none" w:sz="0" w:space="0" w:color="auto"/>
        <w:left w:val="none" w:sz="0" w:space="0" w:color="auto"/>
        <w:bottom w:val="none" w:sz="0" w:space="0" w:color="auto"/>
        <w:right w:val="none" w:sz="0" w:space="0" w:color="auto"/>
      </w:divBdr>
    </w:div>
    <w:div w:id="211597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creativecommons.org/licenses/by-sa/4.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4C0B81ECDA4B93B7705609A98CEF13"/>
        <w:category>
          <w:name w:val="General"/>
          <w:gallery w:val="placeholder"/>
        </w:category>
        <w:types>
          <w:type w:val="bbPlcHdr"/>
        </w:types>
        <w:behaviors>
          <w:behavior w:val="content"/>
        </w:behaviors>
        <w:guid w:val="{254785B2-5DAB-462E-A63F-25D12AE8BDFE}"/>
      </w:docPartPr>
      <w:docPartBody>
        <w:p w:rsidR="00AF2DEE" w:rsidRDefault="00B33439" w:rsidP="00B33439">
          <w:pPr>
            <w:pStyle w:val="DF4C0B81ECDA4B93B7705609A98CEF13"/>
          </w:pPr>
          <w:r w:rsidRPr="00750A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A00002AF" w:usb1="500078FB"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l Bayan Plain">
    <w:charset w:val="B2"/>
    <w:family w:val="auto"/>
    <w:pitch w:val="variable"/>
    <w:sig w:usb0="00002001" w:usb1="0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EB"/>
    <w:rsid w:val="0007324C"/>
    <w:rsid w:val="001E624E"/>
    <w:rsid w:val="002128F8"/>
    <w:rsid w:val="006B2737"/>
    <w:rsid w:val="00884543"/>
    <w:rsid w:val="008F5DB1"/>
    <w:rsid w:val="009C5460"/>
    <w:rsid w:val="00A21058"/>
    <w:rsid w:val="00A63619"/>
    <w:rsid w:val="00AF2DEE"/>
    <w:rsid w:val="00B33439"/>
    <w:rsid w:val="00B6249C"/>
    <w:rsid w:val="00B72A5C"/>
    <w:rsid w:val="00E72B96"/>
    <w:rsid w:val="00F048D4"/>
    <w:rsid w:val="00FF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439"/>
    <w:rPr>
      <w:color w:val="808080"/>
    </w:rPr>
  </w:style>
  <w:style w:type="paragraph" w:customStyle="1" w:styleId="DF4C0B81ECDA4B93B7705609A98CEF13">
    <w:name w:val="DF4C0B81ECDA4B93B7705609A98CEF13"/>
    <w:rsid w:val="00B3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982HyRzSLzWINb1myHR0MMaXaQ==">AMUW2mW20A5kRh7MWFtTT+RnWG/tFn5qRNf8bC/YpEdUJI9ZEE0aaby9aPYtsXwRCZdXrhY89Nw9lcYhE69v90kTKLoL1WB2A/hMjiS1YxTguXoEAzWpP6oa2FNjgwy8gXADHcfLLP4Q</go:docsCustomData>
</go:gDocsCustomXmlDataStorage>
</file>

<file path=customXml/itemProps1.xml><?xml version="1.0" encoding="utf-8"?>
<ds:datastoreItem xmlns:ds="http://schemas.openxmlformats.org/officeDocument/2006/customXml" ds:itemID="{83F95E24-FA5E-1446-B16C-74F037AFAF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9267</Words>
  <Characters>52827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Yani Diyani Rapei</dc:creator>
  <cp:lastModifiedBy>Adam Lenovo</cp:lastModifiedBy>
  <cp:revision>7</cp:revision>
  <dcterms:created xsi:type="dcterms:W3CDTF">2023-10-26T06:37:00Z</dcterms:created>
  <dcterms:modified xsi:type="dcterms:W3CDTF">2023-10-27T09:45:00Z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8d9bdc99-e300-35b2-839d-6d12b9d03920</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